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3C28B" w14:textId="77777777" w:rsidR="00DE0303" w:rsidRDefault="00DE0303" w:rsidP="005C287C">
      <w:pPr>
        <w:spacing w:before="240"/>
        <w:ind w:left="426" w:right="-1"/>
        <w:jc w:val="right"/>
        <w:rPr>
          <w:b/>
          <w:lang w:val="el-GR"/>
        </w:rPr>
      </w:pPr>
    </w:p>
    <w:p w14:paraId="190B3BD2" w14:textId="72637AC1" w:rsidR="00B14FB2" w:rsidRPr="00D86375" w:rsidRDefault="00B14FB2" w:rsidP="005C287C">
      <w:pPr>
        <w:spacing w:before="240"/>
        <w:ind w:left="426" w:right="-1"/>
        <w:jc w:val="right"/>
        <w:rPr>
          <w:b/>
          <w:lang w:val="el-GR"/>
        </w:rPr>
      </w:pPr>
      <w:r w:rsidRPr="00CB77DA">
        <w:rPr>
          <w:b/>
          <w:lang w:val="el-GR"/>
        </w:rPr>
        <w:t xml:space="preserve">Αθήνα: </w:t>
      </w:r>
      <w:r w:rsidR="00D41FC7" w:rsidRPr="00D41FC7">
        <w:rPr>
          <w:b/>
          <w:lang w:val="el-GR"/>
        </w:rPr>
        <w:t>23</w:t>
      </w:r>
      <w:r w:rsidR="00D415F4">
        <w:rPr>
          <w:b/>
          <w:lang w:val="el-GR"/>
        </w:rPr>
        <w:t>/</w:t>
      </w:r>
      <w:r w:rsidR="0094782B">
        <w:rPr>
          <w:b/>
          <w:lang w:val="el-GR"/>
        </w:rPr>
        <w:t>12</w:t>
      </w:r>
      <w:r w:rsidRPr="006C7DBD">
        <w:rPr>
          <w:b/>
          <w:lang w:val="el-GR"/>
        </w:rPr>
        <w:t>/</w:t>
      </w:r>
      <w:r w:rsidR="00D415F4">
        <w:rPr>
          <w:b/>
          <w:lang w:val="el-GR"/>
        </w:rPr>
        <w:t>2020</w:t>
      </w:r>
    </w:p>
    <w:p w14:paraId="5F029B4A" w14:textId="77777777" w:rsidR="00481697" w:rsidRPr="00D05BA9" w:rsidRDefault="0094782B" w:rsidP="00C2665F">
      <w:pPr>
        <w:pStyle w:val="a5"/>
        <w:jc w:val="center"/>
        <w:rPr>
          <w:sz w:val="30"/>
          <w:szCs w:val="30"/>
          <w:lang w:val="el-GR"/>
        </w:rPr>
      </w:pPr>
      <w:r>
        <w:rPr>
          <w:b/>
          <w:bCs/>
          <w:sz w:val="30"/>
          <w:szCs w:val="30"/>
          <w:lang w:val="el-GR"/>
        </w:rPr>
        <w:t>8</w:t>
      </w:r>
      <w:r w:rsidR="00B14FB2" w:rsidRPr="00D05BA9">
        <w:rPr>
          <w:b/>
          <w:bCs/>
          <w:sz w:val="30"/>
          <w:szCs w:val="30"/>
          <w:vertAlign w:val="superscript"/>
          <w:lang w:val="el-GR"/>
        </w:rPr>
        <w:t>ο</w:t>
      </w:r>
      <w:r w:rsidR="00B14FB2" w:rsidRPr="00D05BA9">
        <w:rPr>
          <w:b/>
          <w:bCs/>
          <w:sz w:val="30"/>
          <w:szCs w:val="30"/>
          <w:lang w:val="el-GR"/>
        </w:rPr>
        <w:t xml:space="preserve"> ΔΕΛΤΙΟ ΣΤΑΤΙΣΤΙΚΗΣ ΠΛΗΡΟΦΟΡΗΣΗΣ: </w:t>
      </w:r>
      <w:r w:rsidR="00B14FB2" w:rsidRPr="00D05BA9">
        <w:rPr>
          <w:b/>
          <w:bCs/>
          <w:sz w:val="30"/>
          <w:szCs w:val="30"/>
          <w:lang w:val="el-GR"/>
        </w:rPr>
        <w:br/>
        <w:t>«</w:t>
      </w:r>
      <w:r>
        <w:rPr>
          <w:b/>
          <w:bCs/>
          <w:sz w:val="30"/>
          <w:szCs w:val="30"/>
          <w:lang w:val="el-GR"/>
        </w:rPr>
        <w:t>ΦΤΩΧΕΙΑ ΚΑΙ ΚΟΙΝΩΝΙΚΟΣ ΑΠΟΚΛΕΙΣΜΟΣ ΣΤΑ ΑΤΟΜΑ ΜΕ ΑΝΑΠΗΡΙΑ</w:t>
      </w:r>
      <w:r w:rsidR="00D415F4">
        <w:rPr>
          <w:b/>
          <w:bCs/>
          <w:sz w:val="30"/>
          <w:szCs w:val="30"/>
          <w:lang w:val="el-GR"/>
        </w:rPr>
        <w:t>»</w:t>
      </w:r>
    </w:p>
    <w:p w14:paraId="020C41F9" w14:textId="77777777" w:rsidR="00B14FB2" w:rsidRPr="00CB77DA" w:rsidRDefault="00B14FB2" w:rsidP="00B14FB2">
      <w:pPr>
        <w:pBdr>
          <w:top w:val="single" w:sz="12" w:space="1" w:color="auto"/>
          <w:left w:val="single" w:sz="12" w:space="4" w:color="auto"/>
          <w:bottom w:val="single" w:sz="48" w:space="1" w:color="auto"/>
          <w:right w:val="single" w:sz="12" w:space="4" w:color="auto"/>
        </w:pBdr>
        <w:shd w:val="clear" w:color="auto" w:fill="EBF1DE"/>
        <w:spacing w:before="240" w:after="120"/>
        <w:ind w:right="-1"/>
        <w:jc w:val="center"/>
        <w:rPr>
          <w:b/>
          <w:lang w:val="el-GR"/>
        </w:rPr>
      </w:pPr>
      <w:r w:rsidRPr="00CB77DA">
        <w:rPr>
          <w:b/>
          <w:lang w:val="el-GR"/>
        </w:rPr>
        <w:t>ΠΑΡΑΤΗΡΗΤΗΡΙΟ ΘΕΜΑΤΩΝ ΑΝΑΠΗΡΙΑΣ</w:t>
      </w:r>
    </w:p>
    <w:p w14:paraId="2B4BAA00" w14:textId="77777777" w:rsidR="00B14FB2" w:rsidRPr="00CB77DA"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CB77DA">
        <w:rPr>
          <w:lang w:val="el-GR"/>
        </w:rPr>
        <w:t>Το Παρατηρητήριο Θεμάτων Αναπηρίας της Εθνικής Συνομοσπονδίας Ατόμων με Αναπηρία (Ε.Σ.</w:t>
      </w:r>
      <w:r>
        <w:rPr>
          <w:lang w:val="el-GR"/>
        </w:rPr>
        <w:t>Α.μεΑ.), εφεξής «Παρατηρητήριο»</w:t>
      </w:r>
      <w:r w:rsidRPr="00CB77DA">
        <w:rPr>
          <w:lang w:val="el-GR"/>
        </w:rPr>
        <w:t xml:space="preserve"> με αντικείμενο την επιστημονική καταγραφή, τη μελέτη και την έρευνα σε θέματα αναπηρίας, στοχεύει στο να καθιερωθεί ως βασική πηγή πληροφόρησης για τις εξελίξεις στο πεδίο της αναπηρίας. Συγκεντρώνοντας και αναλύοντας δεδομένα και πληροφόρηση από εγχώριες και δ</w:t>
      </w:r>
      <w:r w:rsidR="00343769">
        <w:rPr>
          <w:lang w:val="el-GR"/>
        </w:rPr>
        <w:t>ιεθνείς πηγές, το Παρατηρητήριο</w:t>
      </w:r>
      <w:r w:rsidR="00343769" w:rsidRPr="00343769">
        <w:rPr>
          <w:lang w:val="el-GR"/>
        </w:rPr>
        <w:t xml:space="preserve"> </w:t>
      </w:r>
      <w:r w:rsidRPr="00CB77DA">
        <w:rPr>
          <w:lang w:val="el-GR"/>
        </w:rPr>
        <w:t xml:space="preserve">συμβάλλει </w:t>
      </w:r>
      <w:r w:rsidRPr="0059663C">
        <w:rPr>
          <w:lang w:val="el-GR"/>
        </w:rPr>
        <w:t>στη</w:t>
      </w:r>
      <w:r w:rsidR="00D66724" w:rsidRPr="0059663C">
        <w:rPr>
          <w:lang w:val="el-GR"/>
        </w:rPr>
        <w:t>ν</w:t>
      </w:r>
      <w:r w:rsidRPr="0059663C">
        <w:rPr>
          <w:lang w:val="el-GR"/>
        </w:rPr>
        <w:t xml:space="preserve"> παρακολούθηση, στη</w:t>
      </w:r>
      <w:r w:rsidR="00631302" w:rsidRPr="0059663C">
        <w:rPr>
          <w:lang w:val="el-GR"/>
        </w:rPr>
        <w:t>ν</w:t>
      </w:r>
      <w:r w:rsidRPr="0059663C">
        <w:rPr>
          <w:lang w:val="el-GR"/>
        </w:rPr>
        <w:t xml:space="preserve"> προστασία και στη</w:t>
      </w:r>
      <w:r w:rsidR="00631302" w:rsidRPr="0059663C">
        <w:rPr>
          <w:lang w:val="el-GR"/>
        </w:rPr>
        <w:t>ν</w:t>
      </w:r>
      <w:r w:rsidRPr="0059663C">
        <w:rPr>
          <w:lang w:val="el-GR"/>
        </w:rPr>
        <w:t xml:space="preserve"> προώθηση </w:t>
      </w:r>
      <w:r w:rsidRPr="00CB77DA">
        <w:rPr>
          <w:lang w:val="el-GR"/>
        </w:rPr>
        <w:t>των δικαιωμάτων των ατόμων με αναπηρία, χρόνιες παθήσεις και των οικογενειών τους.</w:t>
      </w:r>
    </w:p>
    <w:p w14:paraId="10C592DA" w14:textId="77777777" w:rsidR="00B14FB2" w:rsidRPr="00CB77DA" w:rsidRDefault="00F30C85"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Pr>
          <w:lang w:val="el-GR"/>
        </w:rPr>
        <w:t>Βασικός πυλώνας στη</w:t>
      </w:r>
      <w:r w:rsidR="00B14FB2" w:rsidRPr="00CB77DA">
        <w:rPr>
          <w:lang w:val="el-GR"/>
        </w:rPr>
        <w:t xml:space="preserve"> δραστηριότητα του Παρατηρητηρίου</w:t>
      </w:r>
      <w:r w:rsidR="00B14FB2" w:rsidRPr="00BC3FEE">
        <w:rPr>
          <w:lang w:val="el-GR"/>
        </w:rPr>
        <w:t xml:space="preserve">, </w:t>
      </w:r>
      <w:r w:rsidR="00B14FB2" w:rsidRPr="00CB77DA">
        <w:rPr>
          <w:lang w:val="el-GR"/>
        </w:rPr>
        <w:t>αποτελεί η συγκέντρωση και η ανάλυση στατιστικών δεδομένων σε βασικούς τομείς που αφορούν στις συνθήκες διαβίωσης και στα εμπόδια που αντιμετωπίζουν τα άτομα με αναπηρία και χρόνιες παθήσεις ως προς την άσκηση των δικαιωμάτων τους.</w:t>
      </w:r>
    </w:p>
    <w:p w14:paraId="069F7F4E" w14:textId="77777777" w:rsidR="00B14FB2" w:rsidRPr="00CB77DA"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CB77DA">
        <w:rPr>
          <w:lang w:val="el-GR"/>
        </w:rPr>
        <w:t>Επιπρόσθετα, το «Παρατηρητήριο», καλείται να διαδραματίσει σημαντικό ρόλο στην ανάπτυξη των εθνικών στατιστικών γι</w:t>
      </w:r>
      <w:r w:rsidR="002A09DB">
        <w:rPr>
          <w:lang w:val="el-GR"/>
        </w:rPr>
        <w:t>α την αναπηρία. Με το</w:t>
      </w:r>
      <w:r w:rsidR="00C83319">
        <w:rPr>
          <w:lang w:val="el-GR"/>
        </w:rPr>
        <w:t>ν</w:t>
      </w:r>
      <w:r w:rsidR="002A09DB">
        <w:rPr>
          <w:lang w:val="el-GR"/>
        </w:rPr>
        <w:t xml:space="preserve"> </w:t>
      </w:r>
      <w:r w:rsidRPr="00CB77DA">
        <w:rPr>
          <w:lang w:val="el-GR"/>
        </w:rPr>
        <w:t>νόμο ν.4488/2017, το Παρατηρητήριο της Ε</w:t>
      </w:r>
      <w:r w:rsidRPr="004D54A3">
        <w:rPr>
          <w:lang w:val="el-GR"/>
        </w:rPr>
        <w:t>.</w:t>
      </w:r>
      <w:r w:rsidRPr="00CB77DA">
        <w:rPr>
          <w:lang w:val="el-GR"/>
        </w:rPr>
        <w:t>Σ</w:t>
      </w:r>
      <w:r w:rsidRPr="004D54A3">
        <w:rPr>
          <w:lang w:val="el-GR"/>
        </w:rPr>
        <w:t>.</w:t>
      </w:r>
      <w:r w:rsidRPr="00CB77DA">
        <w:rPr>
          <w:lang w:val="el-GR"/>
        </w:rPr>
        <w:t>Α</w:t>
      </w:r>
      <w:r w:rsidRPr="004D54A3">
        <w:rPr>
          <w:lang w:val="el-GR"/>
        </w:rPr>
        <w:t>.</w:t>
      </w:r>
      <w:r w:rsidRPr="00CB77DA">
        <w:rPr>
          <w:lang w:val="el-GR"/>
        </w:rPr>
        <w:t>μεΑ</w:t>
      </w:r>
      <w:r w:rsidRPr="004D54A3">
        <w:rPr>
          <w:lang w:val="el-GR"/>
        </w:rPr>
        <w:t>.</w:t>
      </w:r>
      <w:r w:rsidRPr="00CB77DA">
        <w:rPr>
          <w:lang w:val="el-GR"/>
        </w:rPr>
        <w:t xml:space="preserve"> θεσμοθετείται ως ο βασικός συνομιλητής της Ελληνικής Στατιστικής Αρχής και των λοιπών φορέων του Ελληνικού Στατιστικού Συστήματος αναφορικά με την υποχρέωσή τους να αναπτύσσουν, να παράγουν και να διαδίδουν επίσημες στατιστικές σχετικά με τα άτομα</w:t>
      </w:r>
      <w:r w:rsidR="004118D1">
        <w:rPr>
          <w:lang w:val="el-GR"/>
        </w:rPr>
        <w:t xml:space="preserve"> </w:t>
      </w:r>
      <w:r w:rsidRPr="00CB77DA">
        <w:rPr>
          <w:lang w:val="el-GR"/>
        </w:rPr>
        <w:t xml:space="preserve">με αναπηρία. Ειδικότερα, προβλέπεται ότι για τους σκοπούς του σχεδιασμού των ως άνω στατιστικών και της διάχυσης των παραγόμενων δεδομένων, οι αρμόδιοι φορείς τελούν σε </w:t>
      </w:r>
      <w:r w:rsidR="005B11D5">
        <w:rPr>
          <w:lang w:val="el-GR"/>
        </w:rPr>
        <w:t xml:space="preserve">διαβούλευση με το Παρατηρητήριο Θεμάτων Αναπηρίας </w:t>
      </w:r>
      <w:r w:rsidRPr="00CB77DA">
        <w:rPr>
          <w:lang w:val="el-GR"/>
        </w:rPr>
        <w:t>της Εθνικής Συνομοσπονδίας Ατόμων με Αναπηρία (Ε.Σ.Α.μεΑ.).</w:t>
      </w:r>
    </w:p>
    <w:p w14:paraId="2FE3791A" w14:textId="77777777" w:rsidR="00B14FB2" w:rsidRPr="00CB77DA"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CB77DA">
        <w:rPr>
          <w:lang w:val="el-GR"/>
        </w:rPr>
        <w:t>Στο πλαίσιο υλοποίησης της Δράσης 1.2</w:t>
      </w:r>
      <w:r w:rsidRPr="002B5DC1">
        <w:rPr>
          <w:lang w:val="el-GR"/>
        </w:rPr>
        <w:t xml:space="preserve"> (</w:t>
      </w:r>
      <w:r>
        <w:rPr>
          <w:lang w:val="el-GR"/>
        </w:rPr>
        <w:t>Π.Ε.2)</w:t>
      </w:r>
      <w:r w:rsidRPr="00CB77DA">
        <w:rPr>
          <w:lang w:val="el-GR"/>
        </w:rPr>
        <w:t xml:space="preserve"> του Υποέργου 1 της Πράξης «Παρατηρητήριο Θεμάτων Αναπηρίας» που υλοποιεί η Ε</w:t>
      </w:r>
      <w:r w:rsidRPr="000720E7">
        <w:rPr>
          <w:lang w:val="el-GR"/>
        </w:rPr>
        <w:t>.</w:t>
      </w:r>
      <w:r w:rsidRPr="00CB77DA">
        <w:rPr>
          <w:lang w:val="el-GR"/>
        </w:rPr>
        <w:t>Σ</w:t>
      </w:r>
      <w:r w:rsidRPr="000720E7">
        <w:rPr>
          <w:lang w:val="el-GR"/>
        </w:rPr>
        <w:t>.</w:t>
      </w:r>
      <w:r w:rsidRPr="00CB77DA">
        <w:rPr>
          <w:lang w:val="el-GR"/>
        </w:rPr>
        <w:t>Α</w:t>
      </w:r>
      <w:r w:rsidRPr="000720E7">
        <w:rPr>
          <w:lang w:val="el-GR"/>
        </w:rPr>
        <w:t>.</w:t>
      </w:r>
      <w:r w:rsidRPr="00CB77DA">
        <w:rPr>
          <w:lang w:val="el-GR"/>
        </w:rPr>
        <w:t>μεΑ</w:t>
      </w:r>
      <w:r w:rsidRPr="000720E7">
        <w:rPr>
          <w:lang w:val="el-GR"/>
        </w:rPr>
        <w:t>.</w:t>
      </w:r>
      <w:r w:rsidRPr="00CB77DA">
        <w:rPr>
          <w:lang w:val="el-GR"/>
        </w:rPr>
        <w:t xml:space="preserve"> στο Επιχειρησιακό Πρόγραμμα «Ανάπτυξη Ανθρώπινου Δυναμικού, Εκπαίδευση και Δια Βίου Μάθηση» με τη συγχρηματοδότηση του Ευρωπαϊκού Κοινωνικού Ταμείου (ΕΚΤ) και εθνικών πόρων, το Παρατηρητήριο συντάσσει και δημοσιεύει σε τακτά χρονικά διαστήματα δελτία στατιστικής πληροφόρησης αφιερωμένα σε συγκριμένα θεματικά πεδία, όπου παρουσιάζει τα σημαντικότερα ευρήματα και τάσεις όπως αυτά προκύπτουν </w:t>
      </w:r>
      <w:r w:rsidRPr="00A56862">
        <w:rPr>
          <w:lang w:val="el-GR"/>
        </w:rPr>
        <w:t>μέσω της επεξεργασίας</w:t>
      </w:r>
      <w:r w:rsidRPr="00E94AF4">
        <w:rPr>
          <w:color w:val="FF0000"/>
          <w:lang w:val="el-GR"/>
        </w:rPr>
        <w:t xml:space="preserve"> </w:t>
      </w:r>
      <w:r w:rsidRPr="00CB77DA">
        <w:rPr>
          <w:lang w:val="el-GR"/>
        </w:rPr>
        <w:t xml:space="preserve">των διαθέσιμων </w:t>
      </w:r>
      <w:r w:rsidR="00A56862">
        <w:rPr>
          <w:lang w:val="el-GR"/>
        </w:rPr>
        <w:t xml:space="preserve">στατιστικών </w:t>
      </w:r>
      <w:r w:rsidRPr="00CB77DA">
        <w:rPr>
          <w:lang w:val="el-GR"/>
        </w:rPr>
        <w:t xml:space="preserve">στοιχείων. </w:t>
      </w:r>
    </w:p>
    <w:p w14:paraId="44A9A2E7" w14:textId="77777777" w:rsidR="00B14FB2" w:rsidRDefault="00B14FB2" w:rsidP="00B14FB2">
      <w:pPr>
        <w:pBdr>
          <w:top w:val="single" w:sz="12" w:space="1" w:color="auto"/>
          <w:left w:val="single" w:sz="12" w:space="4" w:color="auto"/>
          <w:bottom w:val="single" w:sz="48" w:space="1" w:color="auto"/>
          <w:right w:val="single" w:sz="12" w:space="4" w:color="auto"/>
        </w:pBdr>
        <w:shd w:val="clear" w:color="auto" w:fill="EBF1DE"/>
        <w:spacing w:after="80" w:line="240" w:lineRule="auto"/>
        <w:ind w:right="-1"/>
        <w:jc w:val="both"/>
        <w:rPr>
          <w:lang w:val="el-GR"/>
        </w:rPr>
      </w:pPr>
      <w:r w:rsidRPr="00CB77DA">
        <w:rPr>
          <w:lang w:val="el-GR"/>
        </w:rPr>
        <w:t xml:space="preserve">Για περισσότερες πληροφορίες για το Έργο, απευθυνθείτε στην Ιστοσελίδα του Έργου: </w:t>
      </w:r>
      <w:hyperlink r:id="rId8" w:tooltip="Επίσημη Ιστοσελίδα της Πράξης &quot;Παρατηρητήριο Θεμάτων Αναπηρίας&quot;" w:history="1">
        <w:r w:rsidRPr="00CB77DA">
          <w:rPr>
            <w:rStyle w:val="-"/>
            <w:lang w:val="el-GR"/>
          </w:rPr>
          <w:t>www.paratiritirioanapirias.gr</w:t>
        </w:r>
      </w:hyperlink>
      <w:r w:rsidRPr="00CB77DA">
        <w:rPr>
          <w:lang w:val="el-GR"/>
        </w:rPr>
        <w:t>.</w:t>
      </w:r>
    </w:p>
    <w:p w14:paraId="3ADB4432" w14:textId="77777777" w:rsidR="00544395" w:rsidRDefault="00544395" w:rsidP="00B14FB2">
      <w:pPr>
        <w:ind w:right="-1"/>
        <w:rPr>
          <w:lang w:val="el-GR"/>
        </w:rPr>
      </w:pPr>
    </w:p>
    <w:p w14:paraId="7A46AFAF" w14:textId="799C3EC4" w:rsidR="00F4074C" w:rsidRDefault="00F4074C">
      <w:pPr>
        <w:rPr>
          <w:lang w:val="el-GR"/>
        </w:rPr>
      </w:pPr>
      <w:r>
        <w:rPr>
          <w:lang w:val="el-GR"/>
        </w:rPr>
        <w:br w:type="page"/>
      </w:r>
    </w:p>
    <w:p w14:paraId="7A20CC73" w14:textId="77777777" w:rsidR="00544395" w:rsidRPr="00750883" w:rsidRDefault="00544395" w:rsidP="00B14FB2">
      <w:pPr>
        <w:ind w:right="-1"/>
        <w:rPr>
          <w:lang w:val="el-GR"/>
        </w:rPr>
      </w:pPr>
    </w:p>
    <w:sdt>
      <w:sdtPr>
        <w:rPr>
          <w:rFonts w:asciiTheme="minorHAnsi" w:eastAsiaTheme="minorHAnsi" w:hAnsiTheme="minorHAnsi" w:cstheme="minorBidi"/>
          <w:color w:val="auto"/>
          <w:sz w:val="22"/>
          <w:szCs w:val="22"/>
          <w:lang w:val="el-GR"/>
        </w:rPr>
        <w:id w:val="-664017367"/>
        <w:docPartObj>
          <w:docPartGallery w:val="Table of Contents"/>
          <w:docPartUnique/>
        </w:docPartObj>
      </w:sdtPr>
      <w:sdtEndPr>
        <w:rPr>
          <w:b/>
          <w:bCs/>
        </w:rPr>
      </w:sdtEndPr>
      <w:sdtContent>
        <w:p w14:paraId="04CED64C" w14:textId="77777777" w:rsidR="005C287C" w:rsidRPr="0068245B" w:rsidRDefault="005C287C" w:rsidP="005C287C">
          <w:pPr>
            <w:pStyle w:val="ac"/>
            <w:rPr>
              <w:rFonts w:asciiTheme="minorHAnsi" w:hAnsiTheme="minorHAnsi" w:cstheme="minorHAnsi"/>
              <w:color w:val="auto"/>
              <w:sz w:val="24"/>
              <w:szCs w:val="24"/>
              <w:lang w:val="el-GR"/>
            </w:rPr>
          </w:pPr>
          <w:r w:rsidRPr="0068245B">
            <w:rPr>
              <w:rFonts w:asciiTheme="minorHAnsi" w:hAnsiTheme="minorHAnsi" w:cstheme="minorHAnsi"/>
              <w:color w:val="auto"/>
              <w:sz w:val="24"/>
              <w:szCs w:val="24"/>
              <w:lang w:val="el-GR"/>
            </w:rPr>
            <w:t>Περιεχόμενα</w:t>
          </w:r>
        </w:p>
        <w:p w14:paraId="0DFFCFB2" w14:textId="10F0E185" w:rsidR="00D15EFF" w:rsidRDefault="0084626E">
          <w:pPr>
            <w:pStyle w:val="12"/>
            <w:tabs>
              <w:tab w:val="right" w:leader="dot" w:pos="9203"/>
            </w:tabs>
            <w:rPr>
              <w:rFonts w:eastAsiaTheme="minorEastAsia"/>
              <w:noProof/>
              <w:lang w:val="el-GR" w:eastAsia="el-GR"/>
            </w:rPr>
          </w:pPr>
          <w:r w:rsidRPr="0068245B">
            <w:rPr>
              <w:sz w:val="24"/>
              <w:szCs w:val="24"/>
            </w:rPr>
            <w:fldChar w:fldCharType="begin"/>
          </w:r>
          <w:r w:rsidR="005C287C" w:rsidRPr="0068245B">
            <w:rPr>
              <w:sz w:val="24"/>
              <w:szCs w:val="24"/>
            </w:rPr>
            <w:instrText xml:space="preserve"> TOC \o "1-3" \h \z \u </w:instrText>
          </w:r>
          <w:r w:rsidRPr="0068245B">
            <w:rPr>
              <w:sz w:val="24"/>
              <w:szCs w:val="24"/>
            </w:rPr>
            <w:fldChar w:fldCharType="separate"/>
          </w:r>
          <w:hyperlink w:anchor="_Toc59179436" w:history="1">
            <w:r w:rsidR="00D15EFF" w:rsidRPr="00766236">
              <w:rPr>
                <w:rStyle w:val="-"/>
                <w:rFonts w:cstheme="minorHAnsi"/>
                <w:b/>
                <w:noProof/>
                <w:lang w:val="el-GR"/>
              </w:rPr>
              <w:t>ΑΝΑΛΥΣΗ ΕΥΡΥΜΑΤΩΝ</w:t>
            </w:r>
            <w:r w:rsidR="00D15EFF">
              <w:rPr>
                <w:noProof/>
                <w:webHidden/>
              </w:rPr>
              <w:tab/>
            </w:r>
            <w:r>
              <w:rPr>
                <w:noProof/>
                <w:webHidden/>
              </w:rPr>
              <w:fldChar w:fldCharType="begin"/>
            </w:r>
            <w:r w:rsidR="00D15EFF">
              <w:rPr>
                <w:noProof/>
                <w:webHidden/>
              </w:rPr>
              <w:instrText xml:space="preserve"> PAGEREF _Toc59179436 \h </w:instrText>
            </w:r>
            <w:r>
              <w:rPr>
                <w:noProof/>
                <w:webHidden/>
              </w:rPr>
            </w:r>
            <w:r>
              <w:rPr>
                <w:noProof/>
                <w:webHidden/>
              </w:rPr>
              <w:fldChar w:fldCharType="separate"/>
            </w:r>
            <w:r w:rsidR="00DA4DF6">
              <w:rPr>
                <w:noProof/>
                <w:webHidden/>
              </w:rPr>
              <w:t>8</w:t>
            </w:r>
            <w:r>
              <w:rPr>
                <w:noProof/>
                <w:webHidden/>
              </w:rPr>
              <w:fldChar w:fldCharType="end"/>
            </w:r>
          </w:hyperlink>
        </w:p>
        <w:p w14:paraId="29CF87FA" w14:textId="4CF799D2" w:rsidR="00D15EFF" w:rsidRDefault="000326C8">
          <w:pPr>
            <w:pStyle w:val="12"/>
            <w:tabs>
              <w:tab w:val="left" w:pos="440"/>
              <w:tab w:val="right" w:leader="dot" w:pos="9203"/>
            </w:tabs>
            <w:rPr>
              <w:rFonts w:eastAsiaTheme="minorEastAsia"/>
              <w:noProof/>
              <w:lang w:val="el-GR" w:eastAsia="el-GR"/>
            </w:rPr>
          </w:pPr>
          <w:hyperlink w:anchor="_Toc59179437" w:history="1">
            <w:r w:rsidR="00D15EFF" w:rsidRPr="00766236">
              <w:rPr>
                <w:rStyle w:val="-"/>
                <w:b/>
                <w:noProof/>
                <w:lang w:val="el-GR"/>
              </w:rPr>
              <w:t>1.</w:t>
            </w:r>
            <w:r w:rsidR="00D15EFF">
              <w:rPr>
                <w:rFonts w:eastAsiaTheme="minorEastAsia"/>
                <w:noProof/>
                <w:lang w:val="el-GR" w:eastAsia="el-GR"/>
              </w:rPr>
              <w:tab/>
            </w:r>
            <w:r w:rsidR="00D15EFF" w:rsidRPr="00766236">
              <w:rPr>
                <w:rStyle w:val="-"/>
                <w:b/>
                <w:noProof/>
                <w:lang w:val="el-GR"/>
              </w:rPr>
              <w:t>Ο Σύνθετος Δείκτης: «Ποσοστό πληθυσμού σε κίνδυνο φτώχειας ή σε κοινωνικό αποκλεισμό»</w:t>
            </w:r>
            <w:r w:rsidR="00D15EFF">
              <w:rPr>
                <w:noProof/>
                <w:webHidden/>
              </w:rPr>
              <w:tab/>
            </w:r>
            <w:r w:rsidR="0084626E">
              <w:rPr>
                <w:noProof/>
                <w:webHidden/>
              </w:rPr>
              <w:fldChar w:fldCharType="begin"/>
            </w:r>
            <w:r w:rsidR="00D15EFF">
              <w:rPr>
                <w:noProof/>
                <w:webHidden/>
              </w:rPr>
              <w:instrText xml:space="preserve"> PAGEREF _Toc59179437 \h </w:instrText>
            </w:r>
            <w:r w:rsidR="0084626E">
              <w:rPr>
                <w:noProof/>
                <w:webHidden/>
              </w:rPr>
            </w:r>
            <w:r w:rsidR="0084626E">
              <w:rPr>
                <w:noProof/>
                <w:webHidden/>
              </w:rPr>
              <w:fldChar w:fldCharType="separate"/>
            </w:r>
            <w:r w:rsidR="00DA4DF6">
              <w:rPr>
                <w:noProof/>
                <w:webHidden/>
              </w:rPr>
              <w:t>8</w:t>
            </w:r>
            <w:r w:rsidR="0084626E">
              <w:rPr>
                <w:noProof/>
                <w:webHidden/>
              </w:rPr>
              <w:fldChar w:fldCharType="end"/>
            </w:r>
          </w:hyperlink>
        </w:p>
        <w:p w14:paraId="19A05106" w14:textId="6F99CFD2" w:rsidR="00D15EFF" w:rsidRPr="00F4074C" w:rsidRDefault="000326C8">
          <w:pPr>
            <w:pStyle w:val="12"/>
            <w:tabs>
              <w:tab w:val="right" w:leader="dot" w:pos="9203"/>
            </w:tabs>
            <w:rPr>
              <w:rFonts w:eastAsiaTheme="minorEastAsia"/>
              <w:noProof/>
              <w:lang w:val="el-GR" w:eastAsia="el-GR"/>
            </w:rPr>
          </w:pPr>
          <w:hyperlink w:anchor="_Toc59179438" w:history="1">
            <w:r w:rsidR="00D15EFF" w:rsidRPr="00F4074C">
              <w:rPr>
                <w:rStyle w:val="-"/>
                <w:noProof/>
                <w:lang w:val="el-GR"/>
              </w:rPr>
              <w:t>Γράφημα 1: Ποσοστό πληθυσμού (16+ ετών) σε κίνδυνο φτώχειας ή σε κοινωνικό αποκλεισμό και κατάσταση αναπηρίας το 2019</w:t>
            </w:r>
            <w:r w:rsidR="00D15EFF" w:rsidRPr="00F4074C">
              <w:rPr>
                <w:noProof/>
                <w:webHidden/>
              </w:rPr>
              <w:tab/>
            </w:r>
            <w:r w:rsidR="0084626E" w:rsidRPr="00F4074C">
              <w:rPr>
                <w:noProof/>
                <w:webHidden/>
              </w:rPr>
              <w:fldChar w:fldCharType="begin"/>
            </w:r>
            <w:r w:rsidR="00D15EFF" w:rsidRPr="00F4074C">
              <w:rPr>
                <w:noProof/>
                <w:webHidden/>
              </w:rPr>
              <w:instrText xml:space="preserve"> PAGEREF _Toc59179438 \h </w:instrText>
            </w:r>
            <w:r w:rsidR="0084626E" w:rsidRPr="00F4074C">
              <w:rPr>
                <w:noProof/>
                <w:webHidden/>
              </w:rPr>
            </w:r>
            <w:r w:rsidR="0084626E" w:rsidRPr="00F4074C">
              <w:rPr>
                <w:noProof/>
                <w:webHidden/>
              </w:rPr>
              <w:fldChar w:fldCharType="separate"/>
            </w:r>
            <w:r w:rsidR="00DA4DF6">
              <w:rPr>
                <w:noProof/>
                <w:webHidden/>
              </w:rPr>
              <w:t>9</w:t>
            </w:r>
            <w:r w:rsidR="0084626E" w:rsidRPr="00F4074C">
              <w:rPr>
                <w:noProof/>
                <w:webHidden/>
              </w:rPr>
              <w:fldChar w:fldCharType="end"/>
            </w:r>
          </w:hyperlink>
        </w:p>
        <w:p w14:paraId="3651066E" w14:textId="326BB56C" w:rsidR="00D15EFF" w:rsidRPr="00F4074C" w:rsidRDefault="000326C8">
          <w:pPr>
            <w:pStyle w:val="12"/>
            <w:tabs>
              <w:tab w:val="right" w:leader="dot" w:pos="9203"/>
            </w:tabs>
            <w:rPr>
              <w:rFonts w:eastAsiaTheme="minorEastAsia"/>
              <w:noProof/>
              <w:lang w:val="el-GR" w:eastAsia="el-GR"/>
            </w:rPr>
          </w:pPr>
          <w:hyperlink w:anchor="_Toc59179439" w:history="1">
            <w:r w:rsidR="00D15EFF" w:rsidRPr="00F4074C">
              <w:rPr>
                <w:rStyle w:val="-"/>
                <w:noProof/>
                <w:lang w:val="el-GR"/>
              </w:rPr>
              <w:t>Γράφημα 2: Πληθυσμός σε κίνδυνο φτώχειας ή σε κοινωνικό αποκλεισμό ανά ομάδες ηλικιών και κατάσταση αναπηρίας (Σοβαρή αναπηρία/Χωρίς αναπηρία) το 2019</w:t>
            </w:r>
            <w:r w:rsidR="00D15EFF" w:rsidRPr="00F4074C">
              <w:rPr>
                <w:noProof/>
                <w:webHidden/>
              </w:rPr>
              <w:tab/>
            </w:r>
            <w:r w:rsidR="0084626E" w:rsidRPr="00F4074C">
              <w:rPr>
                <w:noProof/>
                <w:webHidden/>
              </w:rPr>
              <w:fldChar w:fldCharType="begin"/>
            </w:r>
            <w:r w:rsidR="00D15EFF" w:rsidRPr="00F4074C">
              <w:rPr>
                <w:noProof/>
                <w:webHidden/>
              </w:rPr>
              <w:instrText xml:space="preserve"> PAGEREF _Toc59179439 \h </w:instrText>
            </w:r>
            <w:r w:rsidR="0084626E" w:rsidRPr="00F4074C">
              <w:rPr>
                <w:noProof/>
                <w:webHidden/>
              </w:rPr>
            </w:r>
            <w:r w:rsidR="0084626E" w:rsidRPr="00F4074C">
              <w:rPr>
                <w:noProof/>
                <w:webHidden/>
              </w:rPr>
              <w:fldChar w:fldCharType="separate"/>
            </w:r>
            <w:r w:rsidR="00DA4DF6">
              <w:rPr>
                <w:noProof/>
                <w:webHidden/>
              </w:rPr>
              <w:t>10</w:t>
            </w:r>
            <w:r w:rsidR="0084626E" w:rsidRPr="00F4074C">
              <w:rPr>
                <w:noProof/>
                <w:webHidden/>
              </w:rPr>
              <w:fldChar w:fldCharType="end"/>
            </w:r>
          </w:hyperlink>
        </w:p>
        <w:p w14:paraId="5D708D17" w14:textId="670AB044" w:rsidR="00D15EFF" w:rsidRPr="00F4074C" w:rsidRDefault="000326C8">
          <w:pPr>
            <w:pStyle w:val="12"/>
            <w:tabs>
              <w:tab w:val="right" w:leader="dot" w:pos="9203"/>
            </w:tabs>
            <w:rPr>
              <w:rFonts w:eastAsiaTheme="minorEastAsia"/>
              <w:noProof/>
              <w:lang w:val="el-GR" w:eastAsia="el-GR"/>
            </w:rPr>
          </w:pPr>
          <w:hyperlink w:anchor="_Toc59179440" w:history="1">
            <w:r w:rsidR="00D15EFF" w:rsidRPr="00F4074C">
              <w:rPr>
                <w:rStyle w:val="-"/>
                <w:noProof/>
                <w:lang w:val="el-GR"/>
              </w:rPr>
              <w:t>Γράφημα 3: Πληθυσμός (16-64 ετών) σε κίνδυνο φτώχειας ή σε κοινωνικό αποκλεισμό (Σοβαρή αναπηρία/χωρίς αναπηρία)</w:t>
            </w:r>
            <w:r w:rsidR="00D15EFF" w:rsidRPr="00F4074C">
              <w:rPr>
                <w:noProof/>
                <w:webHidden/>
              </w:rPr>
              <w:tab/>
            </w:r>
            <w:r w:rsidR="0084626E" w:rsidRPr="00F4074C">
              <w:rPr>
                <w:noProof/>
                <w:webHidden/>
              </w:rPr>
              <w:fldChar w:fldCharType="begin"/>
            </w:r>
            <w:r w:rsidR="00D15EFF" w:rsidRPr="00F4074C">
              <w:rPr>
                <w:noProof/>
                <w:webHidden/>
              </w:rPr>
              <w:instrText xml:space="preserve"> PAGEREF _Toc59179440 \h </w:instrText>
            </w:r>
            <w:r w:rsidR="0084626E" w:rsidRPr="00F4074C">
              <w:rPr>
                <w:noProof/>
                <w:webHidden/>
              </w:rPr>
            </w:r>
            <w:r w:rsidR="0084626E" w:rsidRPr="00F4074C">
              <w:rPr>
                <w:noProof/>
                <w:webHidden/>
              </w:rPr>
              <w:fldChar w:fldCharType="separate"/>
            </w:r>
            <w:r w:rsidR="00DA4DF6">
              <w:rPr>
                <w:noProof/>
                <w:webHidden/>
              </w:rPr>
              <w:t>11</w:t>
            </w:r>
            <w:r w:rsidR="0084626E" w:rsidRPr="00F4074C">
              <w:rPr>
                <w:noProof/>
                <w:webHidden/>
              </w:rPr>
              <w:fldChar w:fldCharType="end"/>
            </w:r>
          </w:hyperlink>
        </w:p>
        <w:p w14:paraId="41E1911C" w14:textId="7CF98E01" w:rsidR="00D15EFF" w:rsidRPr="00F4074C" w:rsidRDefault="000326C8">
          <w:pPr>
            <w:pStyle w:val="12"/>
            <w:tabs>
              <w:tab w:val="right" w:leader="dot" w:pos="9203"/>
            </w:tabs>
            <w:rPr>
              <w:rFonts w:eastAsiaTheme="minorEastAsia"/>
              <w:noProof/>
              <w:lang w:val="el-GR" w:eastAsia="el-GR"/>
            </w:rPr>
          </w:pPr>
          <w:hyperlink w:anchor="_Toc59179441" w:history="1">
            <w:r w:rsidR="00D15EFF" w:rsidRPr="00F4074C">
              <w:rPr>
                <w:rStyle w:val="-"/>
                <w:noProof/>
                <w:lang w:val="el-GR"/>
              </w:rPr>
              <w:t>Γράφημα 4: Χάσμα (</w:t>
            </w:r>
            <w:r w:rsidR="00D15EFF" w:rsidRPr="00F4074C">
              <w:rPr>
                <w:rStyle w:val="-"/>
                <w:noProof/>
              </w:rPr>
              <w:t>gap</w:t>
            </w:r>
            <w:r w:rsidR="00D15EFF" w:rsidRPr="00F4074C">
              <w:rPr>
                <w:rStyle w:val="-"/>
                <w:noProof/>
                <w:lang w:val="el-GR"/>
              </w:rPr>
              <w:t>) κινδύνου Φτώχειας ή αποκλεισμού μεταξύ από με σοβαρή αναπηρία και χωρίς αναπηρία (%πληθυσμού με σοβαρή αναπηρία-%πληθυσμού χωρίς αναπηρία)</w:t>
            </w:r>
            <w:r w:rsidR="00D15EFF" w:rsidRPr="00F4074C">
              <w:rPr>
                <w:noProof/>
                <w:webHidden/>
              </w:rPr>
              <w:tab/>
            </w:r>
            <w:r w:rsidR="0084626E" w:rsidRPr="00F4074C">
              <w:rPr>
                <w:noProof/>
                <w:webHidden/>
              </w:rPr>
              <w:fldChar w:fldCharType="begin"/>
            </w:r>
            <w:r w:rsidR="00D15EFF" w:rsidRPr="00F4074C">
              <w:rPr>
                <w:noProof/>
                <w:webHidden/>
              </w:rPr>
              <w:instrText xml:space="preserve"> PAGEREF _Toc59179441 \h </w:instrText>
            </w:r>
            <w:r w:rsidR="0084626E" w:rsidRPr="00F4074C">
              <w:rPr>
                <w:noProof/>
                <w:webHidden/>
              </w:rPr>
            </w:r>
            <w:r w:rsidR="0084626E" w:rsidRPr="00F4074C">
              <w:rPr>
                <w:noProof/>
                <w:webHidden/>
              </w:rPr>
              <w:fldChar w:fldCharType="separate"/>
            </w:r>
            <w:r w:rsidR="00DA4DF6">
              <w:rPr>
                <w:noProof/>
                <w:webHidden/>
              </w:rPr>
              <w:t>12</w:t>
            </w:r>
            <w:r w:rsidR="0084626E" w:rsidRPr="00F4074C">
              <w:rPr>
                <w:noProof/>
                <w:webHidden/>
              </w:rPr>
              <w:fldChar w:fldCharType="end"/>
            </w:r>
          </w:hyperlink>
        </w:p>
        <w:p w14:paraId="0588AC47" w14:textId="3225DA7E" w:rsidR="00D15EFF" w:rsidRDefault="000326C8">
          <w:pPr>
            <w:pStyle w:val="12"/>
            <w:tabs>
              <w:tab w:val="left" w:pos="440"/>
              <w:tab w:val="right" w:leader="dot" w:pos="9203"/>
            </w:tabs>
            <w:rPr>
              <w:rFonts w:eastAsiaTheme="minorEastAsia"/>
              <w:noProof/>
              <w:lang w:val="el-GR" w:eastAsia="el-GR"/>
            </w:rPr>
          </w:pPr>
          <w:hyperlink w:anchor="_Toc59179442" w:history="1">
            <w:r w:rsidR="00D15EFF" w:rsidRPr="00766236">
              <w:rPr>
                <w:rStyle w:val="-"/>
                <w:b/>
                <w:noProof/>
                <w:lang w:val="el-GR"/>
              </w:rPr>
              <w:t>2.</w:t>
            </w:r>
            <w:r w:rsidR="00D15EFF">
              <w:rPr>
                <w:rFonts w:eastAsiaTheme="minorEastAsia"/>
                <w:noProof/>
                <w:lang w:val="el-GR" w:eastAsia="el-GR"/>
              </w:rPr>
              <w:tab/>
            </w:r>
            <w:r w:rsidR="00D15EFF" w:rsidRPr="00766236">
              <w:rPr>
                <w:rStyle w:val="-"/>
                <w:b/>
                <w:noProof/>
                <w:lang w:val="el-GR"/>
              </w:rPr>
              <w:t>Πληθυσμός σε κίνδυνο φτώχειας</w:t>
            </w:r>
            <w:r w:rsidR="00D15EFF">
              <w:rPr>
                <w:noProof/>
                <w:webHidden/>
              </w:rPr>
              <w:tab/>
            </w:r>
            <w:r w:rsidR="0084626E">
              <w:rPr>
                <w:noProof/>
                <w:webHidden/>
              </w:rPr>
              <w:fldChar w:fldCharType="begin"/>
            </w:r>
            <w:r w:rsidR="00D15EFF">
              <w:rPr>
                <w:noProof/>
                <w:webHidden/>
              </w:rPr>
              <w:instrText xml:space="preserve"> PAGEREF _Toc59179442 \h </w:instrText>
            </w:r>
            <w:r w:rsidR="0084626E">
              <w:rPr>
                <w:noProof/>
                <w:webHidden/>
              </w:rPr>
            </w:r>
            <w:r w:rsidR="0084626E">
              <w:rPr>
                <w:noProof/>
                <w:webHidden/>
              </w:rPr>
              <w:fldChar w:fldCharType="separate"/>
            </w:r>
            <w:r w:rsidR="00DA4DF6">
              <w:rPr>
                <w:noProof/>
                <w:webHidden/>
              </w:rPr>
              <w:t>12</w:t>
            </w:r>
            <w:r w:rsidR="0084626E">
              <w:rPr>
                <w:noProof/>
                <w:webHidden/>
              </w:rPr>
              <w:fldChar w:fldCharType="end"/>
            </w:r>
          </w:hyperlink>
        </w:p>
        <w:p w14:paraId="6745CFBF" w14:textId="22739915" w:rsidR="00D15EFF" w:rsidRPr="00F4074C" w:rsidRDefault="000326C8">
          <w:pPr>
            <w:pStyle w:val="12"/>
            <w:tabs>
              <w:tab w:val="right" w:leader="dot" w:pos="9203"/>
            </w:tabs>
            <w:rPr>
              <w:rFonts w:eastAsiaTheme="minorEastAsia"/>
              <w:noProof/>
              <w:lang w:val="el-GR" w:eastAsia="el-GR"/>
            </w:rPr>
          </w:pPr>
          <w:hyperlink w:anchor="_Toc59179443" w:history="1">
            <w:r w:rsidR="00D15EFF" w:rsidRPr="00F4074C">
              <w:rPr>
                <w:rStyle w:val="-"/>
                <w:noProof/>
                <w:lang w:val="el-GR"/>
              </w:rPr>
              <w:t>Γράφημα 5: Κίνδυνος φτώχειας μετά τις κοινωνικές μεταβιβάσεις κατά ηλικιακή ομάδα και κατάσταση αναπηρίας (Σοβαρή &amp; μέτρια αναπηρία/χωρίς αναπηρία) το 2019</w:t>
            </w:r>
            <w:r w:rsidR="00D15EFF" w:rsidRPr="00F4074C">
              <w:rPr>
                <w:noProof/>
                <w:webHidden/>
              </w:rPr>
              <w:tab/>
            </w:r>
            <w:r w:rsidR="0084626E" w:rsidRPr="00F4074C">
              <w:rPr>
                <w:noProof/>
                <w:webHidden/>
              </w:rPr>
              <w:fldChar w:fldCharType="begin"/>
            </w:r>
            <w:r w:rsidR="00D15EFF" w:rsidRPr="00F4074C">
              <w:rPr>
                <w:noProof/>
                <w:webHidden/>
              </w:rPr>
              <w:instrText xml:space="preserve"> PAGEREF _Toc59179443 \h </w:instrText>
            </w:r>
            <w:r w:rsidR="0084626E" w:rsidRPr="00F4074C">
              <w:rPr>
                <w:noProof/>
                <w:webHidden/>
              </w:rPr>
            </w:r>
            <w:r w:rsidR="0084626E" w:rsidRPr="00F4074C">
              <w:rPr>
                <w:noProof/>
                <w:webHidden/>
              </w:rPr>
              <w:fldChar w:fldCharType="separate"/>
            </w:r>
            <w:r w:rsidR="00DA4DF6">
              <w:rPr>
                <w:noProof/>
                <w:webHidden/>
              </w:rPr>
              <w:t>15</w:t>
            </w:r>
            <w:r w:rsidR="0084626E" w:rsidRPr="00F4074C">
              <w:rPr>
                <w:noProof/>
                <w:webHidden/>
              </w:rPr>
              <w:fldChar w:fldCharType="end"/>
            </w:r>
          </w:hyperlink>
        </w:p>
        <w:p w14:paraId="7C3FB5D0" w14:textId="56678BFA" w:rsidR="00D15EFF" w:rsidRPr="00F4074C" w:rsidRDefault="000326C8">
          <w:pPr>
            <w:pStyle w:val="12"/>
            <w:tabs>
              <w:tab w:val="right" w:leader="dot" w:pos="9203"/>
            </w:tabs>
            <w:rPr>
              <w:rFonts w:eastAsiaTheme="minorEastAsia"/>
              <w:noProof/>
              <w:lang w:val="el-GR" w:eastAsia="el-GR"/>
            </w:rPr>
          </w:pPr>
          <w:hyperlink w:anchor="_Toc59179444" w:history="1">
            <w:r w:rsidR="00D15EFF" w:rsidRPr="00F4074C">
              <w:rPr>
                <w:rStyle w:val="-"/>
                <w:noProof/>
                <w:lang w:val="el-GR"/>
              </w:rPr>
              <w:t>Γράφημα 6: Διαχρονική εξέλιξη του ποσοστού πληθυσμού (16-64 ετών) σε κίνδυνο φτώχειας και κατάσταση αναπηρίας (Σοβαρή αναπηρία/χωρίς αναπηρία)</w:t>
            </w:r>
            <w:r w:rsidR="00D15EFF" w:rsidRPr="00F4074C">
              <w:rPr>
                <w:noProof/>
                <w:webHidden/>
              </w:rPr>
              <w:tab/>
            </w:r>
            <w:r w:rsidR="0084626E" w:rsidRPr="00F4074C">
              <w:rPr>
                <w:noProof/>
                <w:webHidden/>
              </w:rPr>
              <w:fldChar w:fldCharType="begin"/>
            </w:r>
            <w:r w:rsidR="00D15EFF" w:rsidRPr="00F4074C">
              <w:rPr>
                <w:noProof/>
                <w:webHidden/>
              </w:rPr>
              <w:instrText xml:space="preserve"> PAGEREF _Toc59179444 \h </w:instrText>
            </w:r>
            <w:r w:rsidR="0084626E" w:rsidRPr="00F4074C">
              <w:rPr>
                <w:noProof/>
                <w:webHidden/>
              </w:rPr>
            </w:r>
            <w:r w:rsidR="0084626E" w:rsidRPr="00F4074C">
              <w:rPr>
                <w:noProof/>
                <w:webHidden/>
              </w:rPr>
              <w:fldChar w:fldCharType="separate"/>
            </w:r>
            <w:r w:rsidR="00DA4DF6">
              <w:rPr>
                <w:noProof/>
                <w:webHidden/>
              </w:rPr>
              <w:t>16</w:t>
            </w:r>
            <w:r w:rsidR="0084626E" w:rsidRPr="00F4074C">
              <w:rPr>
                <w:noProof/>
                <w:webHidden/>
              </w:rPr>
              <w:fldChar w:fldCharType="end"/>
            </w:r>
          </w:hyperlink>
        </w:p>
        <w:p w14:paraId="332EEE31" w14:textId="7693A5E3" w:rsidR="00D15EFF" w:rsidRPr="00F4074C" w:rsidRDefault="000326C8">
          <w:pPr>
            <w:pStyle w:val="12"/>
            <w:tabs>
              <w:tab w:val="right" w:leader="dot" w:pos="9203"/>
            </w:tabs>
            <w:rPr>
              <w:rFonts w:eastAsiaTheme="minorEastAsia"/>
              <w:noProof/>
              <w:lang w:val="el-GR" w:eastAsia="el-GR"/>
            </w:rPr>
          </w:pPr>
          <w:hyperlink w:anchor="_Toc59179445" w:history="1">
            <w:r w:rsidR="00D15EFF" w:rsidRPr="00F4074C">
              <w:rPr>
                <w:rStyle w:val="-"/>
                <w:noProof/>
                <w:lang w:val="el-GR"/>
              </w:rPr>
              <w:t>Γράφημα 7: Κίνδυνος φτώχειας πριν τις κοινωνικές μεταβιβάσεις κατά ηλικιακή ομάδα και κατάσταση αναπηρίας το 2019</w:t>
            </w:r>
            <w:r w:rsidR="00D15EFF" w:rsidRPr="00F4074C">
              <w:rPr>
                <w:noProof/>
                <w:webHidden/>
              </w:rPr>
              <w:tab/>
            </w:r>
            <w:r w:rsidR="0084626E" w:rsidRPr="00F4074C">
              <w:rPr>
                <w:noProof/>
                <w:webHidden/>
              </w:rPr>
              <w:fldChar w:fldCharType="begin"/>
            </w:r>
            <w:r w:rsidR="00D15EFF" w:rsidRPr="00F4074C">
              <w:rPr>
                <w:noProof/>
                <w:webHidden/>
              </w:rPr>
              <w:instrText xml:space="preserve"> PAGEREF _Toc59179445 \h </w:instrText>
            </w:r>
            <w:r w:rsidR="0084626E" w:rsidRPr="00F4074C">
              <w:rPr>
                <w:noProof/>
                <w:webHidden/>
              </w:rPr>
            </w:r>
            <w:r w:rsidR="0084626E" w:rsidRPr="00F4074C">
              <w:rPr>
                <w:noProof/>
                <w:webHidden/>
              </w:rPr>
              <w:fldChar w:fldCharType="separate"/>
            </w:r>
            <w:r w:rsidR="00DA4DF6">
              <w:rPr>
                <w:noProof/>
                <w:webHidden/>
              </w:rPr>
              <w:t>17</w:t>
            </w:r>
            <w:r w:rsidR="0084626E" w:rsidRPr="00F4074C">
              <w:rPr>
                <w:noProof/>
                <w:webHidden/>
              </w:rPr>
              <w:fldChar w:fldCharType="end"/>
            </w:r>
          </w:hyperlink>
        </w:p>
        <w:p w14:paraId="2A748A92" w14:textId="2796E0A7" w:rsidR="00D15EFF" w:rsidRDefault="000326C8">
          <w:pPr>
            <w:pStyle w:val="12"/>
            <w:tabs>
              <w:tab w:val="left" w:pos="440"/>
              <w:tab w:val="right" w:leader="dot" w:pos="9203"/>
            </w:tabs>
            <w:rPr>
              <w:rFonts w:eastAsiaTheme="minorEastAsia"/>
              <w:noProof/>
              <w:lang w:val="el-GR" w:eastAsia="el-GR"/>
            </w:rPr>
          </w:pPr>
          <w:hyperlink w:anchor="_Toc59179446" w:history="1">
            <w:r w:rsidR="00D15EFF" w:rsidRPr="00766236">
              <w:rPr>
                <w:rStyle w:val="-"/>
                <w:b/>
                <w:noProof/>
                <w:lang w:val="el-GR"/>
              </w:rPr>
              <w:t>3.</w:t>
            </w:r>
            <w:r w:rsidR="00D15EFF">
              <w:rPr>
                <w:rFonts w:eastAsiaTheme="minorEastAsia"/>
                <w:noProof/>
                <w:lang w:val="el-GR" w:eastAsia="el-GR"/>
              </w:rPr>
              <w:tab/>
            </w:r>
            <w:r w:rsidR="00D15EFF" w:rsidRPr="00766236">
              <w:rPr>
                <w:rStyle w:val="-"/>
                <w:b/>
                <w:noProof/>
                <w:lang w:val="el-GR"/>
              </w:rPr>
              <w:t>Πληθυσμός που διαβιεί σε νοικοκυριά με υλική στέρηση</w:t>
            </w:r>
            <w:r w:rsidR="00D15EFF">
              <w:rPr>
                <w:noProof/>
                <w:webHidden/>
              </w:rPr>
              <w:tab/>
            </w:r>
            <w:r w:rsidR="0084626E">
              <w:rPr>
                <w:noProof/>
                <w:webHidden/>
              </w:rPr>
              <w:fldChar w:fldCharType="begin"/>
            </w:r>
            <w:r w:rsidR="00D15EFF">
              <w:rPr>
                <w:noProof/>
                <w:webHidden/>
              </w:rPr>
              <w:instrText xml:space="preserve"> PAGEREF _Toc59179446 \h </w:instrText>
            </w:r>
            <w:r w:rsidR="0084626E">
              <w:rPr>
                <w:noProof/>
                <w:webHidden/>
              </w:rPr>
            </w:r>
            <w:r w:rsidR="0084626E">
              <w:rPr>
                <w:noProof/>
                <w:webHidden/>
              </w:rPr>
              <w:fldChar w:fldCharType="separate"/>
            </w:r>
            <w:r w:rsidR="00DA4DF6">
              <w:rPr>
                <w:noProof/>
                <w:webHidden/>
              </w:rPr>
              <w:t>18</w:t>
            </w:r>
            <w:r w:rsidR="0084626E">
              <w:rPr>
                <w:noProof/>
                <w:webHidden/>
              </w:rPr>
              <w:fldChar w:fldCharType="end"/>
            </w:r>
          </w:hyperlink>
        </w:p>
        <w:p w14:paraId="53F4C26D" w14:textId="2B5B220E" w:rsidR="00D15EFF" w:rsidRPr="00F4074C" w:rsidRDefault="000326C8">
          <w:pPr>
            <w:pStyle w:val="12"/>
            <w:tabs>
              <w:tab w:val="right" w:leader="dot" w:pos="9203"/>
            </w:tabs>
            <w:rPr>
              <w:rFonts w:eastAsiaTheme="minorEastAsia"/>
              <w:noProof/>
              <w:lang w:val="el-GR" w:eastAsia="el-GR"/>
            </w:rPr>
          </w:pPr>
          <w:hyperlink w:anchor="_Toc59179447" w:history="1">
            <w:r w:rsidR="00D15EFF" w:rsidRPr="00F4074C">
              <w:rPr>
                <w:rStyle w:val="-"/>
                <w:noProof/>
                <w:lang w:val="el-GR"/>
              </w:rPr>
              <w:t>Γράφημα 8: Πληθυσμός 16 ετών και άνω που αντιμετωπίζει υλικές στερήσεις και κατάσταση αναπηρίας</w:t>
            </w:r>
            <w:r w:rsidR="00D15EFF" w:rsidRPr="00F4074C">
              <w:rPr>
                <w:noProof/>
                <w:webHidden/>
              </w:rPr>
              <w:tab/>
            </w:r>
            <w:r w:rsidR="0084626E" w:rsidRPr="00F4074C">
              <w:rPr>
                <w:noProof/>
                <w:webHidden/>
              </w:rPr>
              <w:fldChar w:fldCharType="begin"/>
            </w:r>
            <w:r w:rsidR="00D15EFF" w:rsidRPr="00F4074C">
              <w:rPr>
                <w:noProof/>
                <w:webHidden/>
              </w:rPr>
              <w:instrText xml:space="preserve"> PAGEREF _Toc59179447 \h </w:instrText>
            </w:r>
            <w:r w:rsidR="0084626E" w:rsidRPr="00F4074C">
              <w:rPr>
                <w:noProof/>
                <w:webHidden/>
              </w:rPr>
            </w:r>
            <w:r w:rsidR="0084626E" w:rsidRPr="00F4074C">
              <w:rPr>
                <w:noProof/>
                <w:webHidden/>
              </w:rPr>
              <w:fldChar w:fldCharType="separate"/>
            </w:r>
            <w:r w:rsidR="00DA4DF6">
              <w:rPr>
                <w:noProof/>
                <w:webHidden/>
              </w:rPr>
              <w:t>19</w:t>
            </w:r>
            <w:r w:rsidR="0084626E" w:rsidRPr="00F4074C">
              <w:rPr>
                <w:noProof/>
                <w:webHidden/>
              </w:rPr>
              <w:fldChar w:fldCharType="end"/>
            </w:r>
          </w:hyperlink>
        </w:p>
        <w:p w14:paraId="6FD3C30F" w14:textId="533E4ACD" w:rsidR="00D15EFF" w:rsidRDefault="000326C8">
          <w:pPr>
            <w:pStyle w:val="12"/>
            <w:tabs>
              <w:tab w:val="right" w:leader="dot" w:pos="9203"/>
            </w:tabs>
            <w:rPr>
              <w:rFonts w:eastAsiaTheme="minorEastAsia"/>
              <w:noProof/>
              <w:lang w:val="el-GR" w:eastAsia="el-GR"/>
            </w:rPr>
          </w:pPr>
          <w:hyperlink w:anchor="_Toc59179448" w:history="1">
            <w:r w:rsidR="00D15EFF" w:rsidRPr="00F4074C">
              <w:rPr>
                <w:rStyle w:val="-"/>
                <w:noProof/>
                <w:lang w:val="el-GR"/>
              </w:rPr>
              <w:t>Γράφημα 9: Διαχρονική εξέλιξη ποσοστού πληθυσμού (16-64 ετών) σε υλική στέρηση και κατάσταση αναπηρίας</w:t>
            </w:r>
            <w:r w:rsidR="00D15EFF" w:rsidRPr="00F4074C">
              <w:rPr>
                <w:noProof/>
                <w:webHidden/>
              </w:rPr>
              <w:tab/>
            </w:r>
            <w:r w:rsidR="0084626E" w:rsidRPr="00F4074C">
              <w:rPr>
                <w:noProof/>
                <w:webHidden/>
              </w:rPr>
              <w:fldChar w:fldCharType="begin"/>
            </w:r>
            <w:r w:rsidR="00D15EFF" w:rsidRPr="00F4074C">
              <w:rPr>
                <w:noProof/>
                <w:webHidden/>
              </w:rPr>
              <w:instrText xml:space="preserve"> PAGEREF _Toc59179448 \h </w:instrText>
            </w:r>
            <w:r w:rsidR="0084626E" w:rsidRPr="00F4074C">
              <w:rPr>
                <w:noProof/>
                <w:webHidden/>
              </w:rPr>
            </w:r>
            <w:r w:rsidR="0084626E" w:rsidRPr="00F4074C">
              <w:rPr>
                <w:noProof/>
                <w:webHidden/>
              </w:rPr>
              <w:fldChar w:fldCharType="separate"/>
            </w:r>
            <w:r w:rsidR="00DA4DF6">
              <w:rPr>
                <w:noProof/>
                <w:webHidden/>
              </w:rPr>
              <w:t>20</w:t>
            </w:r>
            <w:r w:rsidR="0084626E" w:rsidRPr="00F4074C">
              <w:rPr>
                <w:noProof/>
                <w:webHidden/>
              </w:rPr>
              <w:fldChar w:fldCharType="end"/>
            </w:r>
          </w:hyperlink>
        </w:p>
        <w:p w14:paraId="29EF1322" w14:textId="0236BAD0" w:rsidR="00D15EFF" w:rsidRDefault="000326C8">
          <w:pPr>
            <w:pStyle w:val="12"/>
            <w:tabs>
              <w:tab w:val="left" w:pos="440"/>
              <w:tab w:val="right" w:leader="dot" w:pos="9203"/>
            </w:tabs>
            <w:rPr>
              <w:rFonts w:eastAsiaTheme="minorEastAsia"/>
              <w:noProof/>
              <w:lang w:val="el-GR" w:eastAsia="el-GR"/>
            </w:rPr>
          </w:pPr>
          <w:hyperlink w:anchor="_Toc59179449" w:history="1">
            <w:r w:rsidR="00D15EFF" w:rsidRPr="00766236">
              <w:rPr>
                <w:rStyle w:val="-"/>
                <w:b/>
                <w:noProof/>
                <w:lang w:val="el-GR"/>
              </w:rPr>
              <w:t>4.</w:t>
            </w:r>
            <w:r w:rsidR="00D15EFF">
              <w:rPr>
                <w:rFonts w:eastAsiaTheme="minorEastAsia"/>
                <w:noProof/>
                <w:lang w:val="el-GR" w:eastAsia="el-GR"/>
              </w:rPr>
              <w:tab/>
            </w:r>
            <w:r w:rsidR="00D15EFF" w:rsidRPr="00766236">
              <w:rPr>
                <w:rStyle w:val="-"/>
                <w:b/>
                <w:noProof/>
                <w:lang w:val="el-GR"/>
              </w:rPr>
              <w:t>Πληθυσμός  που διαβιεί σε νοικοκυριά με χαμηλή ένταση εργασίας</w:t>
            </w:r>
            <w:r w:rsidR="00D15EFF">
              <w:rPr>
                <w:noProof/>
                <w:webHidden/>
              </w:rPr>
              <w:tab/>
            </w:r>
            <w:r w:rsidR="0084626E">
              <w:rPr>
                <w:noProof/>
                <w:webHidden/>
              </w:rPr>
              <w:fldChar w:fldCharType="begin"/>
            </w:r>
            <w:r w:rsidR="00D15EFF">
              <w:rPr>
                <w:noProof/>
                <w:webHidden/>
              </w:rPr>
              <w:instrText xml:space="preserve"> PAGEREF _Toc59179449 \h </w:instrText>
            </w:r>
            <w:r w:rsidR="0084626E">
              <w:rPr>
                <w:noProof/>
                <w:webHidden/>
              </w:rPr>
            </w:r>
            <w:r w:rsidR="0084626E">
              <w:rPr>
                <w:noProof/>
                <w:webHidden/>
              </w:rPr>
              <w:fldChar w:fldCharType="separate"/>
            </w:r>
            <w:r w:rsidR="00DA4DF6">
              <w:rPr>
                <w:noProof/>
                <w:webHidden/>
              </w:rPr>
              <w:t>21</w:t>
            </w:r>
            <w:r w:rsidR="0084626E">
              <w:rPr>
                <w:noProof/>
                <w:webHidden/>
              </w:rPr>
              <w:fldChar w:fldCharType="end"/>
            </w:r>
          </w:hyperlink>
        </w:p>
        <w:p w14:paraId="53BDBC6B" w14:textId="680BF6AD" w:rsidR="00D15EFF" w:rsidRPr="00F4074C" w:rsidRDefault="000326C8">
          <w:pPr>
            <w:pStyle w:val="12"/>
            <w:tabs>
              <w:tab w:val="right" w:leader="dot" w:pos="9203"/>
            </w:tabs>
            <w:rPr>
              <w:rFonts w:eastAsiaTheme="minorEastAsia"/>
              <w:noProof/>
              <w:lang w:val="el-GR" w:eastAsia="el-GR"/>
            </w:rPr>
          </w:pPr>
          <w:hyperlink w:anchor="_Toc59179450" w:history="1">
            <w:r w:rsidR="00D15EFF" w:rsidRPr="00F4074C">
              <w:rPr>
                <w:rStyle w:val="-"/>
                <w:noProof/>
                <w:lang w:val="el-GR"/>
              </w:rPr>
              <w:t>Γράφημα 10:  Διαχρονική εξέλιξη ποσοστού πληθυσμού (16-59 ετών) που διαβιεί σε νοικοκυριά με χαμηλή ένταση εργασίας</w:t>
            </w:r>
            <w:r w:rsidR="00D15EFF" w:rsidRPr="00F4074C">
              <w:rPr>
                <w:noProof/>
                <w:webHidden/>
              </w:rPr>
              <w:tab/>
            </w:r>
            <w:r w:rsidR="0084626E" w:rsidRPr="00F4074C">
              <w:rPr>
                <w:noProof/>
                <w:webHidden/>
              </w:rPr>
              <w:fldChar w:fldCharType="begin"/>
            </w:r>
            <w:r w:rsidR="00D15EFF" w:rsidRPr="00F4074C">
              <w:rPr>
                <w:noProof/>
                <w:webHidden/>
              </w:rPr>
              <w:instrText xml:space="preserve"> PAGEREF _Toc59179450 \h </w:instrText>
            </w:r>
            <w:r w:rsidR="0084626E" w:rsidRPr="00F4074C">
              <w:rPr>
                <w:noProof/>
                <w:webHidden/>
              </w:rPr>
            </w:r>
            <w:r w:rsidR="0084626E" w:rsidRPr="00F4074C">
              <w:rPr>
                <w:noProof/>
                <w:webHidden/>
              </w:rPr>
              <w:fldChar w:fldCharType="separate"/>
            </w:r>
            <w:r w:rsidR="00DA4DF6">
              <w:rPr>
                <w:noProof/>
                <w:webHidden/>
              </w:rPr>
              <w:t>21</w:t>
            </w:r>
            <w:r w:rsidR="0084626E" w:rsidRPr="00F4074C">
              <w:rPr>
                <w:noProof/>
                <w:webHidden/>
              </w:rPr>
              <w:fldChar w:fldCharType="end"/>
            </w:r>
          </w:hyperlink>
        </w:p>
        <w:p w14:paraId="30F23023" w14:textId="7820C204" w:rsidR="005C287C" w:rsidRDefault="0084626E" w:rsidP="005C287C">
          <w:pPr>
            <w:pStyle w:val="12"/>
            <w:tabs>
              <w:tab w:val="right" w:leader="dot" w:pos="9016"/>
            </w:tabs>
            <w:rPr>
              <w:b/>
              <w:bCs/>
              <w:lang w:val="el-GR"/>
            </w:rPr>
          </w:pPr>
          <w:r w:rsidRPr="0068245B">
            <w:rPr>
              <w:bCs/>
              <w:sz w:val="24"/>
              <w:szCs w:val="24"/>
              <w:lang w:val="el-GR"/>
            </w:rPr>
            <w:fldChar w:fldCharType="end"/>
          </w:r>
        </w:p>
      </w:sdtContent>
    </w:sdt>
    <w:tbl>
      <w:tblPr>
        <w:tblStyle w:val="ab"/>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948"/>
        <w:gridCol w:w="6699"/>
      </w:tblGrid>
      <w:tr w:rsidR="00F4074C" w:rsidRPr="00F4074C" w14:paraId="38A0966C" w14:textId="77777777" w:rsidTr="00311D4A">
        <w:trPr>
          <w:jc w:val="center"/>
        </w:trPr>
        <w:tc>
          <w:tcPr>
            <w:tcW w:w="1948" w:type="dxa"/>
            <w:shd w:val="clear" w:color="auto" w:fill="F2F2F2" w:themeFill="background1" w:themeFillShade="F2"/>
          </w:tcPr>
          <w:p w14:paraId="4CA2670E" w14:textId="77777777" w:rsidR="00F4074C" w:rsidRDefault="00F4074C" w:rsidP="00311D4A">
            <w:pPr>
              <w:spacing w:before="60" w:after="60"/>
              <w:jc w:val="right"/>
              <w:rPr>
                <w:sz w:val="24"/>
                <w:szCs w:val="24"/>
                <w:lang w:val="el-GR"/>
              </w:rPr>
            </w:pPr>
            <w:r>
              <w:rPr>
                <w:noProof/>
                <w:sz w:val="24"/>
                <w:szCs w:val="24"/>
                <w:lang w:val="el-GR" w:eastAsia="el-GR"/>
              </w:rPr>
              <w:drawing>
                <wp:inline distT="0" distB="0" distL="0" distR="0" wp14:anchorId="03B78F18" wp14:editId="33F947BD">
                  <wp:extent cx="914400" cy="914400"/>
                  <wp:effectExtent l="0" t="0" r="0" b="0"/>
                  <wp:docPr id="3" name="Εικόνα 3"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99" w:type="dxa"/>
            <w:shd w:val="clear" w:color="auto" w:fill="F2F2F2" w:themeFill="background1" w:themeFillShade="F2"/>
            <w:vAlign w:val="bottom"/>
          </w:tcPr>
          <w:p w14:paraId="0D585A2F" w14:textId="77777777" w:rsidR="00F4074C" w:rsidRPr="003F7C4B" w:rsidRDefault="00F4074C" w:rsidP="00311D4A">
            <w:pPr>
              <w:spacing w:before="240" w:after="120"/>
              <w:ind w:left="181" w:right="255"/>
              <w:jc w:val="both"/>
              <w:rPr>
                <w:b/>
                <w:sz w:val="20"/>
                <w:szCs w:val="20"/>
                <w:lang w:val="el-GR"/>
              </w:rPr>
            </w:pPr>
            <w:r w:rsidRPr="003F7C4B">
              <w:rPr>
                <w:b/>
                <w:sz w:val="20"/>
                <w:szCs w:val="20"/>
                <w:lang w:val="el-GR"/>
              </w:rPr>
              <w:t xml:space="preserve">Προσβάσιμο αρχείο </w:t>
            </w:r>
            <w:r w:rsidRPr="00CE232E">
              <w:rPr>
                <w:b/>
                <w:sz w:val="20"/>
                <w:szCs w:val="20"/>
                <w:lang w:val="en-GB"/>
              </w:rPr>
              <w:t>Microsoft</w:t>
            </w:r>
            <w:r w:rsidRPr="000D2D4C">
              <w:rPr>
                <w:b/>
                <w:sz w:val="20"/>
                <w:szCs w:val="20"/>
                <w:lang w:val="el-GR"/>
              </w:rPr>
              <w:t xml:space="preserve"> </w:t>
            </w:r>
            <w:r w:rsidRPr="00CE232E">
              <w:rPr>
                <w:b/>
                <w:sz w:val="20"/>
                <w:szCs w:val="20"/>
                <w:lang w:val="en-GB"/>
              </w:rPr>
              <w:t>Word</w:t>
            </w:r>
            <w:r w:rsidRPr="003F7C4B">
              <w:rPr>
                <w:b/>
                <w:sz w:val="20"/>
                <w:szCs w:val="20"/>
                <w:lang w:val="el-GR"/>
              </w:rPr>
              <w:t xml:space="preserve"> (*.</w:t>
            </w:r>
            <w:r w:rsidRPr="00CE232E">
              <w:rPr>
                <w:b/>
                <w:sz w:val="20"/>
                <w:szCs w:val="20"/>
                <w:lang w:val="en-GB"/>
              </w:rPr>
              <w:t>docx</w:t>
            </w:r>
            <w:r w:rsidRPr="003F7C4B">
              <w:rPr>
                <w:b/>
                <w:sz w:val="20"/>
                <w:szCs w:val="20"/>
                <w:lang w:val="el-GR"/>
              </w:rPr>
              <w:t>)</w:t>
            </w:r>
          </w:p>
          <w:p w14:paraId="1188653D" w14:textId="77777777" w:rsidR="00F4074C" w:rsidRPr="003F7C4B" w:rsidRDefault="00F4074C" w:rsidP="00311D4A">
            <w:pPr>
              <w:spacing w:before="240" w:after="120"/>
              <w:ind w:left="184" w:right="255"/>
              <w:jc w:val="both"/>
              <w:rPr>
                <w:sz w:val="20"/>
                <w:szCs w:val="20"/>
                <w:lang w:val="el-GR"/>
              </w:rPr>
            </w:pPr>
            <w:r w:rsidRPr="003F7C4B">
              <w:rPr>
                <w:sz w:val="20"/>
                <w:szCs w:val="20"/>
                <w:lang w:val="el-GR"/>
              </w:rPr>
              <w:t xml:space="preserve">Το παρόν αρχείο ελέγχθηκε </w:t>
            </w:r>
            <w:r>
              <w:rPr>
                <w:sz w:val="20"/>
                <w:szCs w:val="20"/>
                <w:lang w:val="el-GR"/>
              </w:rPr>
              <w:t xml:space="preserve">με το εργαλείο </w:t>
            </w:r>
            <w:r w:rsidRPr="00CE232E">
              <w:rPr>
                <w:i/>
                <w:sz w:val="20"/>
                <w:szCs w:val="20"/>
                <w:lang w:val="en-GB"/>
              </w:rPr>
              <w:t>Microsoft</w:t>
            </w:r>
            <w:r w:rsidRPr="000D2D4C">
              <w:rPr>
                <w:i/>
                <w:sz w:val="20"/>
                <w:szCs w:val="20"/>
                <w:lang w:val="el-GR"/>
              </w:rPr>
              <w:t xml:space="preserve"> </w:t>
            </w:r>
            <w:r w:rsidRPr="00CE232E">
              <w:rPr>
                <w:i/>
                <w:sz w:val="20"/>
                <w:szCs w:val="20"/>
                <w:lang w:val="en-GB"/>
              </w:rPr>
              <w:t>Accessibility</w:t>
            </w:r>
            <w:r w:rsidRPr="000D2D4C">
              <w:rPr>
                <w:i/>
                <w:sz w:val="20"/>
                <w:szCs w:val="20"/>
                <w:lang w:val="el-GR"/>
              </w:rPr>
              <w:t xml:space="preserve"> </w:t>
            </w:r>
            <w:r w:rsidRPr="00CE232E">
              <w:rPr>
                <w:i/>
                <w:sz w:val="20"/>
                <w:szCs w:val="20"/>
                <w:lang w:val="en-GB"/>
              </w:rPr>
              <w:t>Checker</w:t>
            </w:r>
            <w:r w:rsidRPr="00CE232E">
              <w:rPr>
                <w:sz w:val="20"/>
                <w:szCs w:val="20"/>
                <w:lang w:val="el-GR"/>
              </w:rPr>
              <w:t xml:space="preserve"> </w:t>
            </w:r>
            <w:r w:rsidRPr="003F7C4B">
              <w:rPr>
                <w:sz w:val="20"/>
                <w:szCs w:val="20"/>
                <w:lang w:val="el-GR"/>
              </w:rPr>
              <w:t>και δε βρέθηκαν θέματα προσβασιμότητας. Τα άτομα με αναπηρία δε θα αντιμετωπίζουν δυσκολίες στην ανάγνω</w:t>
            </w:r>
            <w:r>
              <w:rPr>
                <w:sz w:val="20"/>
                <w:szCs w:val="20"/>
                <w:lang w:val="el-GR"/>
              </w:rPr>
              <w:t>σή</w:t>
            </w:r>
            <w:r w:rsidRPr="003F7C4B">
              <w:rPr>
                <w:sz w:val="20"/>
                <w:szCs w:val="20"/>
                <w:lang w:val="el-GR"/>
              </w:rPr>
              <w:t xml:space="preserve"> το</w:t>
            </w:r>
            <w:r>
              <w:rPr>
                <w:sz w:val="20"/>
                <w:szCs w:val="20"/>
                <w:lang w:val="el-GR"/>
              </w:rPr>
              <w:t>υ</w:t>
            </w:r>
            <w:r w:rsidRPr="003F7C4B">
              <w:rPr>
                <w:sz w:val="20"/>
                <w:szCs w:val="20"/>
                <w:lang w:val="el-GR"/>
              </w:rPr>
              <w:t>.</w:t>
            </w:r>
          </w:p>
        </w:tc>
      </w:tr>
    </w:tbl>
    <w:p w14:paraId="5D29D2B8" w14:textId="3F8BFFC6" w:rsidR="005C287C" w:rsidRPr="00CB77DA" w:rsidRDefault="005C287C" w:rsidP="005C287C">
      <w:pPr>
        <w:rPr>
          <w:rFonts w:eastAsiaTheme="majorEastAsia" w:cstheme="minorHAnsi"/>
          <w:b/>
          <w:sz w:val="32"/>
          <w:szCs w:val="32"/>
          <w:lang w:val="el-GR"/>
        </w:rPr>
      </w:pPr>
      <w:r w:rsidRPr="00CB77DA">
        <w:rPr>
          <w:rFonts w:cstheme="minorHAnsi"/>
          <w:b/>
          <w:lang w:val="el-GR"/>
        </w:rPr>
        <w:br w:type="page"/>
      </w:r>
    </w:p>
    <w:p w14:paraId="2885BAF5" w14:textId="77777777" w:rsidR="005C287C" w:rsidRPr="00745309" w:rsidRDefault="00745309" w:rsidP="00D86E20">
      <w:pPr>
        <w:pStyle w:val="a5"/>
        <w:ind w:left="142"/>
        <w:rPr>
          <w:b/>
          <w:sz w:val="28"/>
          <w:szCs w:val="28"/>
          <w:lang w:val="el-GR"/>
        </w:rPr>
      </w:pPr>
      <w:r w:rsidRPr="00BD0FA7">
        <w:rPr>
          <w:b/>
          <w:sz w:val="28"/>
          <w:szCs w:val="28"/>
          <w:lang w:val="el-GR"/>
        </w:rPr>
        <w:lastRenderedPageBreak/>
        <w:t>ΕΙΣΑΓΩΓ</w:t>
      </w:r>
      <w:r>
        <w:rPr>
          <w:b/>
          <w:sz w:val="28"/>
          <w:szCs w:val="28"/>
          <w:lang w:val="el-GR"/>
        </w:rPr>
        <w:t>Η</w:t>
      </w:r>
    </w:p>
    <w:p w14:paraId="2D6201E0" w14:textId="77777777" w:rsidR="009A5083" w:rsidRDefault="009A5083" w:rsidP="00B12F1A">
      <w:pPr>
        <w:pStyle w:val="a9"/>
        <w:ind w:left="142"/>
        <w:jc w:val="both"/>
        <w:rPr>
          <w:rStyle w:val="tlid-translation"/>
          <w:sz w:val="24"/>
          <w:szCs w:val="24"/>
          <w:lang w:val="el-GR"/>
        </w:rPr>
      </w:pPr>
    </w:p>
    <w:p w14:paraId="23EEC30C" w14:textId="77777777" w:rsidR="003A006D" w:rsidRPr="00B12F1A" w:rsidRDefault="0016570D" w:rsidP="00B12F1A">
      <w:pPr>
        <w:pStyle w:val="a9"/>
        <w:ind w:left="142"/>
        <w:jc w:val="both"/>
        <w:rPr>
          <w:rStyle w:val="tlid-translation"/>
          <w:sz w:val="24"/>
          <w:szCs w:val="24"/>
          <w:lang w:val="el-GR"/>
        </w:rPr>
      </w:pPr>
      <w:r>
        <w:rPr>
          <w:rStyle w:val="tlid-translation"/>
          <w:sz w:val="24"/>
          <w:szCs w:val="24"/>
          <w:lang w:val="el-GR"/>
        </w:rPr>
        <w:t>Αντικείμενο του παρόντος</w:t>
      </w:r>
      <w:r w:rsidR="00B12F1A">
        <w:rPr>
          <w:rStyle w:val="tlid-translation"/>
          <w:sz w:val="24"/>
          <w:szCs w:val="24"/>
          <w:lang w:val="el-GR"/>
        </w:rPr>
        <w:t xml:space="preserve"> </w:t>
      </w:r>
      <w:r w:rsidR="003A006D" w:rsidRPr="00B12F1A">
        <w:rPr>
          <w:rStyle w:val="tlid-translation"/>
          <w:sz w:val="24"/>
          <w:szCs w:val="24"/>
          <w:lang w:val="el-GR"/>
        </w:rPr>
        <w:t xml:space="preserve">είναι η φτώχεια και ο κοινωνικός αποκλεισμός στα άτομα με αναπηρία. Την τελευταία δεκαετία τα άτομα με αναπηρία ή/και χρόνιες παθήσεις και οι οικογένειές τους βίωσαν αντικειμενικά με τον πιο σκληρό τρόπο την οικονομική κρίση. Οι οριζόντιες περικοπές που σημειώθηκαν στους μισθούς και τις συντάξεις ως αποτέλεσμα των μνημονίων, ήταν ιδιαίτερα επώδυνες για τα άτομα με αναπηρία ή/ και χρόνιες παθήσεις, λαμβάνοντας υπόψη και το πρόσθετο κόστος διαβίωσης που αντιμετωπίζουν λόγω της αναπηρίας. </w:t>
      </w:r>
    </w:p>
    <w:p w14:paraId="19BD6094" w14:textId="77777777" w:rsidR="00AC4FFC" w:rsidRDefault="00AC4FFC" w:rsidP="003A006D">
      <w:pPr>
        <w:pStyle w:val="a9"/>
        <w:ind w:left="142"/>
        <w:jc w:val="both"/>
        <w:rPr>
          <w:rStyle w:val="tlid-translation"/>
          <w:sz w:val="24"/>
          <w:szCs w:val="24"/>
          <w:lang w:val="el-GR"/>
        </w:rPr>
      </w:pPr>
    </w:p>
    <w:p w14:paraId="112ED09B" w14:textId="77777777" w:rsidR="003A006D" w:rsidRPr="003A006D" w:rsidRDefault="003A006D" w:rsidP="003A006D">
      <w:pPr>
        <w:pStyle w:val="a9"/>
        <w:ind w:left="142"/>
        <w:jc w:val="both"/>
        <w:rPr>
          <w:rStyle w:val="tlid-translation"/>
          <w:sz w:val="24"/>
          <w:szCs w:val="24"/>
          <w:lang w:val="el-GR"/>
        </w:rPr>
      </w:pPr>
      <w:r w:rsidRPr="003A006D">
        <w:rPr>
          <w:rStyle w:val="tlid-translation"/>
          <w:sz w:val="24"/>
          <w:szCs w:val="24"/>
          <w:lang w:val="el-GR"/>
        </w:rPr>
        <w:t xml:space="preserve">Σήμερα, η υγειονομική συνθήκη της πανδημίας και οι επακόλουθες δραματικές επιπτώσεις στην οικονομία θέτουν εκ νέου στο στόχαστρο τα πλέον ευάλωτα στρώματα της κοινωνίας, και ιδιαίτερα τα άτομα με αναπηρία που ήδη αντιμετώπιζαν εξαιρετικά υψηλότερο κίνδυνο φτώχειας και κοινωνικού αποκλεισμού. </w:t>
      </w:r>
    </w:p>
    <w:p w14:paraId="4C057EAF" w14:textId="77777777" w:rsidR="00AC4FFC" w:rsidRDefault="00AC4FFC" w:rsidP="003A006D">
      <w:pPr>
        <w:pStyle w:val="a9"/>
        <w:ind w:left="142"/>
        <w:jc w:val="both"/>
        <w:rPr>
          <w:rStyle w:val="tlid-translation"/>
          <w:sz w:val="24"/>
          <w:szCs w:val="24"/>
          <w:lang w:val="el-GR"/>
        </w:rPr>
      </w:pPr>
    </w:p>
    <w:p w14:paraId="09D9D825" w14:textId="77777777" w:rsidR="003A006D" w:rsidRPr="003A006D" w:rsidRDefault="003A006D" w:rsidP="003A006D">
      <w:pPr>
        <w:pStyle w:val="a9"/>
        <w:ind w:left="142"/>
        <w:jc w:val="both"/>
        <w:rPr>
          <w:rStyle w:val="tlid-translation"/>
          <w:sz w:val="24"/>
          <w:szCs w:val="24"/>
          <w:lang w:val="el-GR"/>
        </w:rPr>
      </w:pPr>
      <w:r w:rsidRPr="003A006D">
        <w:rPr>
          <w:rStyle w:val="tlid-translation"/>
          <w:sz w:val="24"/>
          <w:szCs w:val="24"/>
          <w:lang w:val="el-GR"/>
        </w:rPr>
        <w:t>Στο παρόν δελτίο</w:t>
      </w:r>
      <w:r w:rsidR="00D15EFF" w:rsidRPr="00D15EFF">
        <w:rPr>
          <w:rStyle w:val="tlid-translation"/>
          <w:sz w:val="24"/>
          <w:szCs w:val="24"/>
          <w:lang w:val="el-GR"/>
        </w:rPr>
        <w:t>,</w:t>
      </w:r>
      <w:r w:rsidRPr="003A006D">
        <w:rPr>
          <w:rStyle w:val="tlid-translation"/>
          <w:sz w:val="24"/>
          <w:szCs w:val="24"/>
          <w:lang w:val="el-GR"/>
        </w:rPr>
        <w:t xml:space="preserve"> αναλύονται συγκριτικά τα δεδομένα της φτώχειας και του κοινωνικού αποκλεισμού στον πληθυσμό </w:t>
      </w:r>
      <w:r w:rsidR="00AC4FFC">
        <w:rPr>
          <w:rStyle w:val="tlid-translation"/>
          <w:sz w:val="24"/>
          <w:szCs w:val="24"/>
          <w:lang w:val="el-GR"/>
        </w:rPr>
        <w:t xml:space="preserve">των ατόμων </w:t>
      </w:r>
      <w:r w:rsidRPr="003A006D">
        <w:rPr>
          <w:rStyle w:val="tlid-translation"/>
          <w:sz w:val="24"/>
          <w:szCs w:val="24"/>
          <w:lang w:val="el-GR"/>
        </w:rPr>
        <w:t>με και χ</w:t>
      </w:r>
      <w:r w:rsidR="00D15EFF">
        <w:rPr>
          <w:rStyle w:val="tlid-translation"/>
          <w:sz w:val="24"/>
          <w:szCs w:val="24"/>
          <w:lang w:val="el-GR"/>
        </w:rPr>
        <w:t>ωρίς αναπηρία για το έτος 2019</w:t>
      </w:r>
      <w:r w:rsidR="00D15EFF" w:rsidRPr="00D15EFF">
        <w:rPr>
          <w:rStyle w:val="tlid-translation"/>
          <w:sz w:val="24"/>
          <w:szCs w:val="24"/>
          <w:lang w:val="el-GR"/>
        </w:rPr>
        <w:t xml:space="preserve">, </w:t>
      </w:r>
      <w:r w:rsidRPr="003A006D">
        <w:rPr>
          <w:rStyle w:val="tlid-translation"/>
          <w:sz w:val="24"/>
          <w:szCs w:val="24"/>
          <w:lang w:val="el-GR"/>
        </w:rPr>
        <w:t>με περίο</w:t>
      </w:r>
      <w:r w:rsidR="00D15EFF">
        <w:rPr>
          <w:rStyle w:val="tlid-translation"/>
          <w:sz w:val="24"/>
          <w:szCs w:val="24"/>
          <w:lang w:val="el-GR"/>
        </w:rPr>
        <w:t>δο αναφοράς εισοδήματος το 2018</w:t>
      </w:r>
      <w:r w:rsidRPr="003A006D">
        <w:rPr>
          <w:rStyle w:val="tlid-translation"/>
          <w:sz w:val="24"/>
          <w:szCs w:val="24"/>
          <w:lang w:val="el-GR"/>
        </w:rPr>
        <w:t xml:space="preserve">, και αποτυπώνονται οι διαχρονικές μεταβολές το διάστημα 2010-2019. </w:t>
      </w:r>
    </w:p>
    <w:p w14:paraId="0545AB62" w14:textId="77777777" w:rsidR="00AC4FFC" w:rsidRDefault="00AC4FFC" w:rsidP="003A006D">
      <w:pPr>
        <w:pStyle w:val="a9"/>
        <w:ind w:left="142"/>
        <w:jc w:val="both"/>
        <w:rPr>
          <w:rStyle w:val="tlid-translation"/>
          <w:sz w:val="24"/>
          <w:szCs w:val="24"/>
          <w:lang w:val="el-GR"/>
        </w:rPr>
      </w:pPr>
    </w:p>
    <w:p w14:paraId="5CCC7AF5" w14:textId="77777777" w:rsidR="003A006D" w:rsidRDefault="003A006D" w:rsidP="003A006D">
      <w:pPr>
        <w:pStyle w:val="a9"/>
        <w:ind w:left="142"/>
        <w:jc w:val="both"/>
        <w:rPr>
          <w:rStyle w:val="tlid-translation"/>
          <w:sz w:val="24"/>
          <w:szCs w:val="24"/>
          <w:lang w:val="el-GR"/>
        </w:rPr>
      </w:pPr>
      <w:r w:rsidRPr="003A006D">
        <w:rPr>
          <w:rStyle w:val="tlid-translation"/>
          <w:sz w:val="24"/>
          <w:szCs w:val="24"/>
          <w:lang w:val="el-GR"/>
        </w:rPr>
        <w:t>Πηγή των δεδομένων αποτελεί η δειγματοληπτική Έρευνα Εισοδήματος και Συν</w:t>
      </w:r>
      <w:r w:rsidR="00AC4FFC">
        <w:rPr>
          <w:rStyle w:val="tlid-translation"/>
          <w:sz w:val="24"/>
          <w:szCs w:val="24"/>
          <w:lang w:val="el-GR"/>
        </w:rPr>
        <w:t xml:space="preserve">θηκών Διαβίωσης των </w:t>
      </w:r>
      <w:r w:rsidR="00AC4FFC" w:rsidRPr="00114A1F">
        <w:rPr>
          <w:rStyle w:val="tlid-translation"/>
          <w:sz w:val="24"/>
          <w:szCs w:val="24"/>
          <w:lang w:val="el-GR"/>
        </w:rPr>
        <w:t>Νοικοκυριών (</w:t>
      </w:r>
      <w:r w:rsidR="00114A1F" w:rsidRPr="00114A1F">
        <w:t>EU</w:t>
      </w:r>
      <w:r w:rsidR="00114A1F" w:rsidRPr="00114A1F">
        <w:rPr>
          <w:lang w:val="el-GR"/>
        </w:rPr>
        <w:t>-</w:t>
      </w:r>
      <w:r w:rsidR="00114A1F" w:rsidRPr="00114A1F">
        <w:t>SILC</w:t>
      </w:r>
      <w:r w:rsidR="00114A1F" w:rsidRPr="00114A1F">
        <w:rPr>
          <w:lang w:val="el-GR"/>
        </w:rPr>
        <w:t xml:space="preserve"> </w:t>
      </w:r>
      <w:r w:rsidR="00114A1F">
        <w:rPr>
          <w:lang w:val="el-GR"/>
        </w:rPr>
        <w:t>-</w:t>
      </w:r>
      <w:r w:rsidR="00114A1F" w:rsidRPr="006B62F0">
        <w:t>Statistics</w:t>
      </w:r>
      <w:r w:rsidR="00114A1F" w:rsidRPr="00114A1F">
        <w:rPr>
          <w:lang w:val="el-GR"/>
        </w:rPr>
        <w:t xml:space="preserve"> </w:t>
      </w:r>
      <w:r w:rsidR="00114A1F" w:rsidRPr="006B62F0">
        <w:t>on</w:t>
      </w:r>
      <w:r w:rsidR="00114A1F" w:rsidRPr="00114A1F">
        <w:rPr>
          <w:lang w:val="el-GR"/>
        </w:rPr>
        <w:t xml:space="preserve"> </w:t>
      </w:r>
      <w:r w:rsidR="00114A1F" w:rsidRPr="006B62F0">
        <w:t>Income</w:t>
      </w:r>
      <w:r w:rsidR="00114A1F" w:rsidRPr="00114A1F">
        <w:rPr>
          <w:lang w:val="el-GR"/>
        </w:rPr>
        <w:t xml:space="preserve"> </w:t>
      </w:r>
      <w:r w:rsidR="00114A1F" w:rsidRPr="006B62F0">
        <w:t>and</w:t>
      </w:r>
      <w:r w:rsidR="00114A1F" w:rsidRPr="00114A1F">
        <w:rPr>
          <w:lang w:val="el-GR"/>
        </w:rPr>
        <w:t xml:space="preserve"> </w:t>
      </w:r>
      <w:r w:rsidR="00114A1F" w:rsidRPr="006B62F0">
        <w:t>Living</w:t>
      </w:r>
      <w:r w:rsidR="00114A1F" w:rsidRPr="00114A1F">
        <w:rPr>
          <w:lang w:val="el-GR"/>
        </w:rPr>
        <w:t xml:space="preserve"> </w:t>
      </w:r>
      <w:r w:rsidR="00114A1F" w:rsidRPr="006B62F0">
        <w:t>Conditions</w:t>
      </w:r>
      <w:r w:rsidR="00114A1F" w:rsidRPr="00114A1F">
        <w:rPr>
          <w:lang w:val="el-GR"/>
        </w:rPr>
        <w:t>)</w:t>
      </w:r>
      <w:r w:rsidR="00114A1F">
        <w:rPr>
          <w:lang w:val="el-GR"/>
        </w:rPr>
        <w:t xml:space="preserve"> </w:t>
      </w:r>
      <w:r w:rsidR="00AC4FFC" w:rsidRPr="003A006D">
        <w:rPr>
          <w:rStyle w:val="tlid-translation"/>
          <w:sz w:val="24"/>
          <w:szCs w:val="24"/>
          <w:lang w:val="el-GR"/>
        </w:rPr>
        <w:t>τη</w:t>
      </w:r>
      <w:r w:rsidR="00AC4FFC">
        <w:rPr>
          <w:rStyle w:val="tlid-translation"/>
          <w:sz w:val="24"/>
          <w:szCs w:val="24"/>
          <w:lang w:val="el-GR"/>
        </w:rPr>
        <w:t>ς</w:t>
      </w:r>
      <w:r w:rsidR="00AC4FFC" w:rsidRPr="003A006D">
        <w:rPr>
          <w:rStyle w:val="tlid-translation"/>
          <w:sz w:val="24"/>
          <w:szCs w:val="24"/>
          <w:lang w:val="el-GR"/>
        </w:rPr>
        <w:t xml:space="preserve"> Eurostat</w:t>
      </w:r>
      <w:r w:rsidR="00114A1F">
        <w:rPr>
          <w:rStyle w:val="tlid-translation"/>
          <w:sz w:val="24"/>
          <w:szCs w:val="24"/>
          <w:lang w:val="el-GR"/>
        </w:rPr>
        <w:t>,</w:t>
      </w:r>
      <w:r w:rsidR="00AC4FFC" w:rsidRPr="003A006D">
        <w:rPr>
          <w:rStyle w:val="tlid-translation"/>
          <w:sz w:val="24"/>
          <w:szCs w:val="24"/>
          <w:lang w:val="el-GR"/>
        </w:rPr>
        <w:t xml:space="preserve"> </w:t>
      </w:r>
      <w:r w:rsidRPr="003A006D">
        <w:rPr>
          <w:rStyle w:val="tlid-translation"/>
          <w:sz w:val="24"/>
          <w:szCs w:val="24"/>
          <w:lang w:val="el-GR"/>
        </w:rPr>
        <w:t xml:space="preserve">που διενεργείται </w:t>
      </w:r>
      <w:r w:rsidR="00114A1F">
        <w:rPr>
          <w:rStyle w:val="tlid-translation"/>
          <w:sz w:val="24"/>
          <w:szCs w:val="24"/>
          <w:lang w:val="el-GR"/>
        </w:rPr>
        <w:t xml:space="preserve">στην Ελλάδα </w:t>
      </w:r>
      <w:r w:rsidRPr="003A006D">
        <w:rPr>
          <w:rStyle w:val="tlid-translation"/>
          <w:sz w:val="24"/>
          <w:szCs w:val="24"/>
          <w:lang w:val="el-GR"/>
        </w:rPr>
        <w:t>από την Ελληνική Στατιστική Αρχή, και αποτελεί τη βασική πηγή αναφοράς των συγκριτικών στατιστικών για την κατανομή του εισοδήματος και τον κοινωνικό αποκλεισμό σε εθνικό και ευρωπαϊκό επίπεδο.</w:t>
      </w:r>
    </w:p>
    <w:p w14:paraId="2B95F73A" w14:textId="77777777" w:rsidR="00114A1F" w:rsidRPr="003A006D" w:rsidRDefault="00114A1F" w:rsidP="003A006D">
      <w:pPr>
        <w:pStyle w:val="a9"/>
        <w:ind w:left="142"/>
        <w:jc w:val="both"/>
        <w:rPr>
          <w:rStyle w:val="tlid-translation"/>
          <w:sz w:val="24"/>
          <w:szCs w:val="24"/>
          <w:lang w:val="el-GR"/>
        </w:rPr>
      </w:pPr>
    </w:p>
    <w:p w14:paraId="333A26F7" w14:textId="77777777" w:rsidR="003A006D" w:rsidRDefault="003A006D" w:rsidP="003A006D">
      <w:pPr>
        <w:pStyle w:val="a9"/>
        <w:ind w:left="142"/>
        <w:jc w:val="both"/>
        <w:rPr>
          <w:rStyle w:val="tlid-translation"/>
          <w:sz w:val="24"/>
          <w:szCs w:val="24"/>
          <w:lang w:val="el-GR"/>
        </w:rPr>
      </w:pPr>
      <w:r w:rsidRPr="003A006D">
        <w:rPr>
          <w:rStyle w:val="tlid-translation"/>
          <w:sz w:val="24"/>
          <w:szCs w:val="24"/>
          <w:lang w:val="el-GR"/>
        </w:rPr>
        <w:t xml:space="preserve">Ειδικότερα, εξετάζεται ο σύνθετος δείκτης «Πληθυσμός σε κίνδυνο φτώχειας ή </w:t>
      </w:r>
      <w:r w:rsidR="00114A1F">
        <w:rPr>
          <w:rStyle w:val="tlid-translation"/>
          <w:sz w:val="24"/>
          <w:szCs w:val="24"/>
          <w:lang w:val="el-GR"/>
        </w:rPr>
        <w:t xml:space="preserve">σε </w:t>
      </w:r>
      <w:r w:rsidRPr="003A006D">
        <w:rPr>
          <w:rStyle w:val="tlid-translation"/>
          <w:sz w:val="24"/>
          <w:szCs w:val="24"/>
          <w:lang w:val="el-GR"/>
        </w:rPr>
        <w:t xml:space="preserve">κοινωνικό αποκλεισμό», ο οποίος αποτελεί δείκτη αναφοράς της «Ευρωπαϊκής στρατηγικής 2020» για την καταπολέμηση της φτώχειας και του κοινωνικού αποκλεισμού, </w:t>
      </w:r>
      <w:r w:rsidR="00E904D7">
        <w:rPr>
          <w:rStyle w:val="tlid-translation"/>
          <w:sz w:val="24"/>
          <w:szCs w:val="24"/>
          <w:lang w:val="el-GR"/>
        </w:rPr>
        <w:t xml:space="preserve">και αναλύονται </w:t>
      </w:r>
      <w:r w:rsidRPr="003A006D">
        <w:rPr>
          <w:rStyle w:val="tlid-translation"/>
          <w:sz w:val="24"/>
          <w:szCs w:val="24"/>
          <w:lang w:val="el-GR"/>
        </w:rPr>
        <w:t xml:space="preserve">και οι επιμέρους συνιστώσες που τον απαρτίζουν. </w:t>
      </w:r>
      <w:r w:rsidR="00114A1F">
        <w:rPr>
          <w:rStyle w:val="tlid-translation"/>
          <w:sz w:val="24"/>
          <w:szCs w:val="24"/>
          <w:lang w:val="el-GR"/>
        </w:rPr>
        <w:t>Αναλυτικότερα, προκειμένου να αποτυπωθεί το βιοτικό επίπεδο του πληθυσμού, στον δείκτη λαμβάνονται υπόψη: ο κίνδυνος φτώχειας σε όρους ονομαστικού εισοδήματος (σχετική φτώχεια), οι υλικές στερήσεις που αντιμετωπίζουν τα νοικοκυριά, καθώς και η ένταση της εργασίας των μελών των νοικοκυριών</w:t>
      </w:r>
      <w:r w:rsidR="008714E2">
        <w:rPr>
          <w:rStyle w:val="tlid-translation"/>
          <w:sz w:val="24"/>
          <w:szCs w:val="24"/>
          <w:lang w:val="el-GR"/>
        </w:rPr>
        <w:t>.</w:t>
      </w:r>
    </w:p>
    <w:p w14:paraId="58F5A2BA" w14:textId="77777777" w:rsidR="00114A1F" w:rsidRPr="003A006D" w:rsidRDefault="00114A1F" w:rsidP="003A006D">
      <w:pPr>
        <w:pStyle w:val="a9"/>
        <w:ind w:left="142"/>
        <w:jc w:val="both"/>
        <w:rPr>
          <w:rStyle w:val="tlid-translation"/>
          <w:sz w:val="24"/>
          <w:szCs w:val="24"/>
          <w:lang w:val="el-GR"/>
        </w:rPr>
      </w:pPr>
    </w:p>
    <w:p w14:paraId="6270A0F8" w14:textId="77777777" w:rsidR="003A006D" w:rsidRDefault="003A006D" w:rsidP="003A006D">
      <w:pPr>
        <w:pStyle w:val="a9"/>
        <w:ind w:left="142"/>
        <w:jc w:val="both"/>
        <w:rPr>
          <w:rStyle w:val="tlid-translation"/>
          <w:sz w:val="24"/>
          <w:szCs w:val="24"/>
          <w:lang w:val="el-GR"/>
        </w:rPr>
      </w:pPr>
      <w:r w:rsidRPr="003A006D">
        <w:rPr>
          <w:rStyle w:val="tlid-translation"/>
          <w:sz w:val="24"/>
          <w:szCs w:val="24"/>
          <w:lang w:val="el-GR"/>
        </w:rPr>
        <w:t>Στην Έρευνα αναφοράς η πληθυσμιακή ομάδα των ατόμων με αναπηρία προσεγγίζεται στατιστικά με τον δείκτη GALI (</w:t>
      </w:r>
      <w:proofErr w:type="spellStart"/>
      <w:r w:rsidRPr="003A006D">
        <w:rPr>
          <w:rStyle w:val="tlid-translation"/>
          <w:sz w:val="24"/>
          <w:szCs w:val="24"/>
          <w:lang w:val="el-GR"/>
        </w:rPr>
        <w:t>Global</w:t>
      </w:r>
      <w:proofErr w:type="spellEnd"/>
      <w:r w:rsidRPr="003A006D">
        <w:rPr>
          <w:rStyle w:val="tlid-translation"/>
          <w:sz w:val="24"/>
          <w:szCs w:val="24"/>
          <w:lang w:val="el-GR"/>
        </w:rPr>
        <w:t xml:space="preserve"> </w:t>
      </w:r>
      <w:proofErr w:type="spellStart"/>
      <w:r w:rsidRPr="003A006D">
        <w:rPr>
          <w:rStyle w:val="tlid-translation"/>
          <w:sz w:val="24"/>
          <w:szCs w:val="24"/>
          <w:lang w:val="el-GR"/>
        </w:rPr>
        <w:t>Activity</w:t>
      </w:r>
      <w:proofErr w:type="spellEnd"/>
      <w:r w:rsidRPr="003A006D">
        <w:rPr>
          <w:rStyle w:val="tlid-translation"/>
          <w:sz w:val="24"/>
          <w:szCs w:val="24"/>
          <w:lang w:val="el-GR"/>
        </w:rPr>
        <w:t xml:space="preserve"> </w:t>
      </w:r>
      <w:proofErr w:type="spellStart"/>
      <w:r w:rsidRPr="003A006D">
        <w:rPr>
          <w:rStyle w:val="tlid-translation"/>
          <w:sz w:val="24"/>
          <w:szCs w:val="24"/>
          <w:lang w:val="el-GR"/>
        </w:rPr>
        <w:t>Limitation</w:t>
      </w:r>
      <w:proofErr w:type="spellEnd"/>
      <w:r w:rsidRPr="003A006D">
        <w:rPr>
          <w:rStyle w:val="tlid-translation"/>
          <w:sz w:val="24"/>
          <w:szCs w:val="24"/>
          <w:lang w:val="el-GR"/>
        </w:rPr>
        <w:t xml:space="preserve"> </w:t>
      </w:r>
      <w:proofErr w:type="spellStart"/>
      <w:r w:rsidRPr="003A006D">
        <w:rPr>
          <w:rStyle w:val="tlid-translation"/>
          <w:sz w:val="24"/>
          <w:szCs w:val="24"/>
          <w:lang w:val="el-GR"/>
        </w:rPr>
        <w:t>Index</w:t>
      </w:r>
      <w:proofErr w:type="spellEnd"/>
      <w:r w:rsidRPr="003A006D">
        <w:rPr>
          <w:rStyle w:val="tlid-translation"/>
          <w:sz w:val="24"/>
          <w:szCs w:val="24"/>
          <w:lang w:val="el-GR"/>
        </w:rPr>
        <w:t xml:space="preserve">). Πρόκειται για έναν έμμεσο δείκτη προσδιορισμού της αναπηρίας, ο οποίος βασίζεται στην </w:t>
      </w:r>
      <w:proofErr w:type="spellStart"/>
      <w:r w:rsidRPr="003A006D">
        <w:rPr>
          <w:rStyle w:val="tlid-translation"/>
          <w:sz w:val="24"/>
          <w:szCs w:val="24"/>
          <w:lang w:val="el-GR"/>
        </w:rPr>
        <w:t>αυτοαναφορά</w:t>
      </w:r>
      <w:proofErr w:type="spellEnd"/>
      <w:r w:rsidRPr="003A006D">
        <w:rPr>
          <w:rStyle w:val="tlid-translation"/>
          <w:sz w:val="24"/>
          <w:szCs w:val="24"/>
          <w:lang w:val="el-GR"/>
        </w:rPr>
        <w:t xml:space="preserve"> περιορισμού της συνήθους δραστηριότητας του ατόμου, εξαιτίας προβλημάτων υγείας.</w:t>
      </w:r>
    </w:p>
    <w:p w14:paraId="15DC3D69" w14:textId="77777777" w:rsidR="00114A1F" w:rsidRPr="003A006D" w:rsidRDefault="00114A1F" w:rsidP="003A006D">
      <w:pPr>
        <w:pStyle w:val="a9"/>
        <w:ind w:left="142"/>
        <w:jc w:val="both"/>
        <w:rPr>
          <w:rStyle w:val="tlid-translation"/>
          <w:sz w:val="24"/>
          <w:szCs w:val="24"/>
          <w:lang w:val="el-GR"/>
        </w:rPr>
      </w:pPr>
    </w:p>
    <w:p w14:paraId="3D2CAD87" w14:textId="77777777" w:rsidR="003A006D" w:rsidRPr="003A006D" w:rsidRDefault="003A006D" w:rsidP="003A006D">
      <w:pPr>
        <w:pStyle w:val="a9"/>
        <w:ind w:left="142"/>
        <w:jc w:val="both"/>
        <w:rPr>
          <w:rStyle w:val="tlid-translation"/>
          <w:sz w:val="24"/>
          <w:szCs w:val="24"/>
          <w:lang w:val="el-GR"/>
        </w:rPr>
      </w:pPr>
      <w:r w:rsidRPr="003A006D">
        <w:rPr>
          <w:rStyle w:val="tlid-translation"/>
          <w:sz w:val="24"/>
          <w:szCs w:val="24"/>
          <w:lang w:val="el-GR"/>
        </w:rPr>
        <w:lastRenderedPageBreak/>
        <w:t xml:space="preserve">Κατά το έτος 2019, η έρευνα διενεργήθηκε </w:t>
      </w:r>
      <w:r w:rsidR="00E904D7">
        <w:rPr>
          <w:rStyle w:val="tlid-translation"/>
          <w:sz w:val="24"/>
          <w:szCs w:val="24"/>
          <w:lang w:val="el-GR"/>
        </w:rPr>
        <w:t xml:space="preserve">από την Ελληνική Στατιστική Αρχή </w:t>
      </w:r>
      <w:r w:rsidRPr="003A006D">
        <w:rPr>
          <w:rStyle w:val="tlid-translation"/>
          <w:sz w:val="24"/>
          <w:szCs w:val="24"/>
          <w:lang w:val="el-GR"/>
        </w:rPr>
        <w:t xml:space="preserve">σε τελικό δείγμα 17.914 νοικοκυριών και σε 39.603 μέλη των νοικοκυριών αυτών, εκ των οποίων 34.836 ηλικίας 16 ετών και άνω. </w:t>
      </w:r>
    </w:p>
    <w:p w14:paraId="7609D959" w14:textId="77777777" w:rsidR="00114A1F" w:rsidRDefault="00114A1F" w:rsidP="003A006D">
      <w:pPr>
        <w:pStyle w:val="a9"/>
        <w:ind w:left="142"/>
        <w:jc w:val="both"/>
        <w:rPr>
          <w:rStyle w:val="tlid-translation"/>
          <w:sz w:val="24"/>
          <w:szCs w:val="24"/>
          <w:lang w:val="el-GR"/>
        </w:rPr>
      </w:pPr>
    </w:p>
    <w:p w14:paraId="72E42C35" w14:textId="77777777" w:rsidR="001D00EE" w:rsidRPr="00BD0FA7" w:rsidRDefault="002F77B6" w:rsidP="00D34ABE">
      <w:pPr>
        <w:pStyle w:val="a5"/>
        <w:spacing w:before="600"/>
        <w:jc w:val="center"/>
        <w:rPr>
          <w:b/>
          <w:sz w:val="28"/>
          <w:szCs w:val="28"/>
          <w:u w:val="single"/>
          <w:lang w:val="el-GR"/>
        </w:rPr>
      </w:pPr>
      <w:r w:rsidRPr="00BD0FA7">
        <w:rPr>
          <w:b/>
          <w:sz w:val="28"/>
          <w:szCs w:val="28"/>
          <w:u w:val="single"/>
          <w:lang w:val="el-GR"/>
        </w:rPr>
        <w:t>ΒΑΣΙΚΑ ΕΥΡΥΜΑΤΑ</w:t>
      </w:r>
    </w:p>
    <w:p w14:paraId="3680D747" w14:textId="77777777" w:rsidR="008714E2" w:rsidRDefault="008714E2" w:rsidP="008714E2">
      <w:pPr>
        <w:rPr>
          <w:lang w:val="el-GR"/>
        </w:rPr>
      </w:pPr>
    </w:p>
    <w:p w14:paraId="07CF9989" w14:textId="77777777" w:rsidR="008714E2" w:rsidRDefault="008714E2" w:rsidP="008714E2">
      <w:pPr>
        <w:pStyle w:val="a9"/>
        <w:ind w:left="142"/>
        <w:jc w:val="both"/>
        <w:rPr>
          <w:rStyle w:val="tlid-translation"/>
          <w:sz w:val="24"/>
          <w:szCs w:val="24"/>
          <w:lang w:val="el-GR"/>
        </w:rPr>
      </w:pPr>
      <w:r w:rsidRPr="003A006D">
        <w:rPr>
          <w:rStyle w:val="tlid-translation"/>
          <w:sz w:val="24"/>
          <w:szCs w:val="24"/>
          <w:lang w:val="el-GR"/>
        </w:rPr>
        <w:t xml:space="preserve">Σύμφωνα με τα στοιχεία του </w:t>
      </w:r>
      <w:r>
        <w:rPr>
          <w:rStyle w:val="tlid-translation"/>
          <w:sz w:val="24"/>
          <w:szCs w:val="24"/>
          <w:lang w:val="el-GR"/>
        </w:rPr>
        <w:t xml:space="preserve">έτους </w:t>
      </w:r>
      <w:r w:rsidRPr="003A006D">
        <w:rPr>
          <w:rStyle w:val="tlid-translation"/>
          <w:sz w:val="24"/>
          <w:szCs w:val="24"/>
          <w:lang w:val="el-GR"/>
        </w:rPr>
        <w:t xml:space="preserve">2019, το ποσοστό των ατόμων με αναπηρία/περιορισμό της συνήθους δραστηριότητας εξαιτίας προβλήματος υγείας ανέρχεται σε 23,2%, του πληθυσμού ηλικίας 16 ετών και άνω. Εξ αυτών, 846.010 άτομα αναφέρουν σοβαρή αναπηρία (9,5%) και 1.210.404 άτομα </w:t>
      </w:r>
      <w:r>
        <w:rPr>
          <w:rStyle w:val="tlid-translation"/>
          <w:sz w:val="24"/>
          <w:szCs w:val="24"/>
          <w:lang w:val="el-GR"/>
        </w:rPr>
        <w:t>αντιμετωπίζουν</w:t>
      </w:r>
      <w:r w:rsidRPr="003A006D">
        <w:rPr>
          <w:rStyle w:val="tlid-translation"/>
          <w:sz w:val="24"/>
          <w:szCs w:val="24"/>
          <w:lang w:val="el-GR"/>
        </w:rPr>
        <w:t xml:space="preserve"> μέτριο περιορισμό δραστηριότητας /αναπηρία (13,7%).</w:t>
      </w:r>
    </w:p>
    <w:p w14:paraId="4241CEF9" w14:textId="77777777" w:rsidR="008714E2" w:rsidRPr="008714E2" w:rsidRDefault="008714E2" w:rsidP="008714E2">
      <w:pPr>
        <w:rPr>
          <w:lang w:val="el-GR"/>
        </w:rPr>
      </w:pPr>
    </w:p>
    <w:p w14:paraId="71ADF4C1" w14:textId="77777777" w:rsidR="005F5798" w:rsidRPr="009A5083" w:rsidRDefault="005127E0" w:rsidP="008714E2">
      <w:pPr>
        <w:jc w:val="both"/>
        <w:rPr>
          <w:b/>
          <w:sz w:val="24"/>
          <w:szCs w:val="24"/>
          <w:u w:val="single"/>
          <w:lang w:val="el-GR"/>
        </w:rPr>
      </w:pPr>
      <w:r w:rsidRPr="009A5083">
        <w:rPr>
          <w:b/>
          <w:sz w:val="24"/>
          <w:szCs w:val="24"/>
          <w:u w:val="single"/>
          <w:lang w:val="el-GR"/>
        </w:rPr>
        <w:t xml:space="preserve">Σύνθετος δείκτης </w:t>
      </w:r>
      <w:r w:rsidR="00BD0FA7">
        <w:rPr>
          <w:b/>
          <w:sz w:val="24"/>
          <w:szCs w:val="24"/>
          <w:u w:val="single"/>
          <w:lang w:val="el-GR"/>
        </w:rPr>
        <w:t xml:space="preserve"> «</w:t>
      </w:r>
      <w:r w:rsidR="008714E2" w:rsidRPr="009A5083">
        <w:rPr>
          <w:b/>
          <w:sz w:val="24"/>
          <w:szCs w:val="24"/>
          <w:u w:val="single"/>
          <w:lang w:val="el-GR"/>
        </w:rPr>
        <w:t>Ποσοστό πληθυσμού σε κίνδυνο φτώχειας ή σε κοινωνικό αποκλεισμό</w:t>
      </w:r>
      <w:r w:rsidR="00BD0FA7">
        <w:rPr>
          <w:b/>
          <w:sz w:val="24"/>
          <w:szCs w:val="24"/>
          <w:u w:val="single"/>
          <w:lang w:val="el-GR"/>
        </w:rPr>
        <w:t>»</w:t>
      </w:r>
    </w:p>
    <w:p w14:paraId="39938933" w14:textId="77777777" w:rsidR="00536239" w:rsidRDefault="00536239" w:rsidP="00536239">
      <w:pPr>
        <w:jc w:val="both"/>
        <w:rPr>
          <w:sz w:val="24"/>
          <w:szCs w:val="24"/>
          <w:lang w:val="el-GR"/>
        </w:rPr>
      </w:pPr>
      <w:r w:rsidRPr="009A5083">
        <w:rPr>
          <w:b/>
          <w:sz w:val="24"/>
          <w:szCs w:val="24"/>
          <w:lang w:val="el-GR"/>
        </w:rPr>
        <w:t>Το 2019</w:t>
      </w:r>
      <w:r w:rsidR="00814404" w:rsidRPr="009A5083">
        <w:rPr>
          <w:b/>
          <w:sz w:val="24"/>
          <w:szCs w:val="24"/>
          <w:lang w:val="el-GR"/>
        </w:rPr>
        <w:t>, σ</w:t>
      </w:r>
      <w:r w:rsidRPr="009A5083">
        <w:rPr>
          <w:b/>
          <w:sz w:val="24"/>
          <w:szCs w:val="24"/>
          <w:lang w:val="el-GR"/>
        </w:rPr>
        <w:t xml:space="preserve">το φάσμα της φτώχειας και του αποκλεισμού βρίσκονται οι 6 στους </w:t>
      </w:r>
      <w:r w:rsidR="00814404" w:rsidRPr="009A5083">
        <w:rPr>
          <w:b/>
          <w:sz w:val="24"/>
          <w:szCs w:val="24"/>
          <w:lang w:val="el-GR"/>
        </w:rPr>
        <w:t>10 πολίτες με σοβαρή αναπηρία</w:t>
      </w:r>
      <w:r w:rsidR="00814404" w:rsidRPr="009A5083">
        <w:rPr>
          <w:sz w:val="24"/>
          <w:szCs w:val="24"/>
          <w:lang w:val="el-GR"/>
        </w:rPr>
        <w:t xml:space="preserve">, </w:t>
      </w:r>
      <w:r w:rsidRPr="009A5083">
        <w:rPr>
          <w:sz w:val="24"/>
          <w:szCs w:val="24"/>
          <w:lang w:val="el-GR"/>
        </w:rPr>
        <w:t xml:space="preserve">ηλικίας 16 έως 64 ετών,  καταγράφοντας σχεδόν διπλάσιο ποσοστό σε σύγκριση με τους πολίτες χωρίς αναπηρία. </w:t>
      </w:r>
    </w:p>
    <w:p w14:paraId="6C033162" w14:textId="77777777" w:rsidR="00F021AB" w:rsidRDefault="00F021AB" w:rsidP="00AA71C3">
      <w:pPr>
        <w:tabs>
          <w:tab w:val="left" w:pos="3279"/>
        </w:tabs>
        <w:jc w:val="both"/>
        <w:rPr>
          <w:sz w:val="24"/>
          <w:szCs w:val="24"/>
          <w:lang w:val="el-GR"/>
        </w:rPr>
      </w:pPr>
    </w:p>
    <w:p w14:paraId="518A5DDC" w14:textId="77777777" w:rsidR="00AA71C3" w:rsidRPr="00F021AB" w:rsidRDefault="00AA71C3" w:rsidP="00AA71C3">
      <w:pPr>
        <w:tabs>
          <w:tab w:val="left" w:pos="3279"/>
        </w:tabs>
        <w:jc w:val="both"/>
        <w:rPr>
          <w:sz w:val="24"/>
          <w:szCs w:val="24"/>
          <w:lang w:val="el-GR"/>
        </w:rPr>
      </w:pPr>
      <w:r w:rsidRPr="009A5083">
        <w:rPr>
          <w:sz w:val="24"/>
          <w:szCs w:val="24"/>
          <w:lang w:val="el-GR"/>
        </w:rPr>
        <w:t xml:space="preserve">Πιο αναλυτικά ανά ηλικιακή κατηγορία, σε κίνδυνο φτώχειας ή κοινωνικού αποκλεισμού βρίσκεται: </w:t>
      </w:r>
    </w:p>
    <w:p w14:paraId="443F9212" w14:textId="77777777" w:rsidR="00AA71C3" w:rsidRPr="009A5083" w:rsidRDefault="00AA71C3" w:rsidP="00F4074C">
      <w:pPr>
        <w:pStyle w:val="a9"/>
        <w:numPr>
          <w:ilvl w:val="0"/>
          <w:numId w:val="12"/>
        </w:numPr>
        <w:rPr>
          <w:sz w:val="24"/>
          <w:szCs w:val="24"/>
          <w:lang w:val="el-GR"/>
        </w:rPr>
      </w:pPr>
      <w:r w:rsidRPr="00745309">
        <w:rPr>
          <w:b/>
          <w:sz w:val="24"/>
          <w:szCs w:val="24"/>
          <w:lang w:val="el-GR"/>
        </w:rPr>
        <w:t>Το 69,2% του πληθυσμού με σοβαρή αναπηρία 25-34 ετών</w:t>
      </w:r>
      <w:r w:rsidRPr="009A5083">
        <w:rPr>
          <w:sz w:val="24"/>
          <w:szCs w:val="24"/>
          <w:lang w:val="el-GR"/>
        </w:rPr>
        <w:t xml:space="preserve"> (έναντι του 32% του πληθυσμού χωρίς αναπηρία),</w:t>
      </w:r>
    </w:p>
    <w:p w14:paraId="55D38B83" w14:textId="77777777" w:rsidR="00AA71C3" w:rsidRPr="009A5083" w:rsidRDefault="00AA71C3" w:rsidP="00F4074C">
      <w:pPr>
        <w:pStyle w:val="a9"/>
        <w:numPr>
          <w:ilvl w:val="0"/>
          <w:numId w:val="12"/>
        </w:numPr>
        <w:rPr>
          <w:sz w:val="24"/>
          <w:szCs w:val="24"/>
          <w:lang w:val="el-GR"/>
        </w:rPr>
      </w:pPr>
      <w:r w:rsidRPr="00745309">
        <w:rPr>
          <w:b/>
          <w:sz w:val="24"/>
          <w:szCs w:val="24"/>
          <w:lang w:val="el-GR"/>
        </w:rPr>
        <w:t>Το 67,6% του πληθυσμού με σοβαρή αναπηρία 35-44 ετών</w:t>
      </w:r>
      <w:r w:rsidRPr="009A5083">
        <w:rPr>
          <w:sz w:val="24"/>
          <w:szCs w:val="24"/>
          <w:lang w:val="el-GR"/>
        </w:rPr>
        <w:t xml:space="preserve"> (έναντι του 26,4% του πληθυσμού χωρίς αναπηρία),</w:t>
      </w:r>
    </w:p>
    <w:p w14:paraId="2F9C0BAA" w14:textId="77777777" w:rsidR="00AA71C3" w:rsidRPr="009A5083" w:rsidRDefault="00AA71C3" w:rsidP="00F4074C">
      <w:pPr>
        <w:pStyle w:val="a9"/>
        <w:numPr>
          <w:ilvl w:val="0"/>
          <w:numId w:val="12"/>
        </w:numPr>
        <w:rPr>
          <w:sz w:val="24"/>
          <w:szCs w:val="24"/>
          <w:lang w:val="el-GR"/>
        </w:rPr>
      </w:pPr>
      <w:r w:rsidRPr="00745309">
        <w:rPr>
          <w:b/>
          <w:sz w:val="24"/>
          <w:szCs w:val="24"/>
          <w:lang w:val="el-GR"/>
        </w:rPr>
        <w:t>Το 58,6% του πληθυσμού με σοβαρή αναπηρία 45-54 ετών</w:t>
      </w:r>
      <w:r w:rsidRPr="009A5083">
        <w:rPr>
          <w:sz w:val="24"/>
          <w:szCs w:val="24"/>
          <w:lang w:val="el-GR"/>
        </w:rPr>
        <w:t xml:space="preserve"> (έναντι του 28,6% του πληθυσμού χωρίς αναπηρία),</w:t>
      </w:r>
    </w:p>
    <w:p w14:paraId="107841E4" w14:textId="77777777" w:rsidR="00AA71C3" w:rsidRPr="009A5083" w:rsidRDefault="00AA71C3" w:rsidP="00F4074C">
      <w:pPr>
        <w:pStyle w:val="a9"/>
        <w:numPr>
          <w:ilvl w:val="0"/>
          <w:numId w:val="12"/>
        </w:numPr>
        <w:rPr>
          <w:sz w:val="24"/>
          <w:szCs w:val="24"/>
          <w:lang w:val="el-GR"/>
        </w:rPr>
      </w:pPr>
      <w:r w:rsidRPr="00745309">
        <w:rPr>
          <w:b/>
          <w:sz w:val="24"/>
          <w:szCs w:val="24"/>
          <w:lang w:val="el-GR"/>
        </w:rPr>
        <w:t>Το 50,9% του πληθυσμού με σοβαρή αναπηρία 55-64 ετών</w:t>
      </w:r>
      <w:r w:rsidRPr="009A5083">
        <w:rPr>
          <w:sz w:val="24"/>
          <w:szCs w:val="24"/>
          <w:lang w:val="el-GR"/>
        </w:rPr>
        <w:t xml:space="preserve"> (έναντι του 32,8% του πληθυσμού χωρίς αναπηρία).</w:t>
      </w:r>
    </w:p>
    <w:p w14:paraId="70848617" w14:textId="77777777" w:rsidR="00E50AB6" w:rsidRDefault="00E50AB6" w:rsidP="00E50AB6">
      <w:pPr>
        <w:pStyle w:val="a9"/>
        <w:ind w:left="360"/>
        <w:jc w:val="both"/>
        <w:rPr>
          <w:rFonts w:ascii="Times New Roman" w:hAnsi="Times New Roman"/>
          <w:sz w:val="24"/>
          <w:szCs w:val="24"/>
          <w:lang w:val="el-GR"/>
        </w:rPr>
      </w:pPr>
    </w:p>
    <w:p w14:paraId="29F4F6F4" w14:textId="77777777" w:rsidR="00D86E20" w:rsidRDefault="00D86E20">
      <w:pPr>
        <w:rPr>
          <w:sz w:val="24"/>
          <w:szCs w:val="24"/>
          <w:lang w:val="el-GR"/>
        </w:rPr>
      </w:pPr>
      <w:r>
        <w:rPr>
          <w:sz w:val="24"/>
          <w:szCs w:val="24"/>
          <w:lang w:val="el-GR"/>
        </w:rPr>
        <w:br w:type="page"/>
      </w:r>
    </w:p>
    <w:p w14:paraId="4D6637D8" w14:textId="6BCCC6D6" w:rsidR="00F021AB" w:rsidRPr="00F021AB" w:rsidRDefault="00F021AB" w:rsidP="00F021AB">
      <w:pPr>
        <w:ind w:left="142"/>
        <w:jc w:val="both"/>
        <w:rPr>
          <w:sz w:val="24"/>
          <w:szCs w:val="24"/>
          <w:lang w:val="el-GR"/>
        </w:rPr>
      </w:pPr>
      <w:r w:rsidRPr="00F021AB">
        <w:rPr>
          <w:sz w:val="24"/>
          <w:szCs w:val="24"/>
          <w:lang w:val="el-GR"/>
        </w:rPr>
        <w:lastRenderedPageBreak/>
        <w:t>Η διαχρονική εξέλιξη του δείκτη καταδεικνύει τις ασύμμετρες επιπτώσεις της δεκαετούς οικονομικής κρίσης στα άτομα με σοβαρή αναπηρία που είχαν ως αποτέλεσμα τη δραματική αύξηση του φτώχειας και κοινωνικού αποκλεισμού το διάστημα 2010-2019</w:t>
      </w:r>
      <w:r w:rsidR="00BD0FA7">
        <w:rPr>
          <w:sz w:val="24"/>
          <w:szCs w:val="24"/>
          <w:lang w:val="el-GR"/>
        </w:rPr>
        <w:t>,</w:t>
      </w:r>
      <w:r w:rsidRPr="00F021AB">
        <w:rPr>
          <w:sz w:val="24"/>
          <w:szCs w:val="24"/>
          <w:lang w:val="el-GR"/>
        </w:rPr>
        <w:t xml:space="preserve"> κατά 14 ποσοστιαίες μονάδες  (από 43,3 σε 57,2). </w:t>
      </w:r>
    </w:p>
    <w:p w14:paraId="6579278B" w14:textId="77777777" w:rsidR="00273E07" w:rsidRDefault="00F021AB" w:rsidP="00F021AB">
      <w:pPr>
        <w:pStyle w:val="a9"/>
        <w:ind w:left="142"/>
        <w:jc w:val="both"/>
        <w:rPr>
          <w:sz w:val="24"/>
          <w:szCs w:val="24"/>
          <w:lang w:val="el-GR"/>
        </w:rPr>
      </w:pPr>
      <w:r>
        <w:rPr>
          <w:sz w:val="24"/>
          <w:szCs w:val="24"/>
          <w:lang w:val="el-GR"/>
        </w:rPr>
        <w:t xml:space="preserve">Περισσότερο </w:t>
      </w:r>
      <w:r w:rsidRPr="00F021AB">
        <w:rPr>
          <w:sz w:val="24"/>
          <w:szCs w:val="24"/>
          <w:lang w:val="el-GR"/>
        </w:rPr>
        <w:t xml:space="preserve">ανησυχητικό είναι το </w:t>
      </w:r>
      <w:r>
        <w:rPr>
          <w:sz w:val="24"/>
          <w:szCs w:val="24"/>
          <w:lang w:val="el-GR"/>
        </w:rPr>
        <w:t>εύρημα ότι:</w:t>
      </w:r>
      <w:r w:rsidR="00620B00">
        <w:rPr>
          <w:sz w:val="24"/>
          <w:szCs w:val="24"/>
          <w:lang w:val="el-GR"/>
        </w:rPr>
        <w:t xml:space="preserve"> </w:t>
      </w:r>
    </w:p>
    <w:p w14:paraId="73EEE3AC" w14:textId="77777777" w:rsidR="00273E07" w:rsidRDefault="00273E07" w:rsidP="00F021AB">
      <w:pPr>
        <w:pStyle w:val="a9"/>
        <w:ind w:left="142"/>
        <w:jc w:val="both"/>
        <w:rPr>
          <w:sz w:val="24"/>
          <w:szCs w:val="24"/>
          <w:lang w:val="el-GR"/>
        </w:rPr>
      </w:pPr>
    </w:p>
    <w:p w14:paraId="2EA13812" w14:textId="77777777" w:rsidR="00BD0FA7" w:rsidRDefault="00273E07" w:rsidP="00F021AB">
      <w:pPr>
        <w:pStyle w:val="a9"/>
        <w:ind w:left="142"/>
        <w:jc w:val="both"/>
        <w:rPr>
          <w:sz w:val="24"/>
          <w:szCs w:val="24"/>
          <w:lang w:val="el-GR"/>
        </w:rPr>
      </w:pPr>
      <w:r>
        <w:rPr>
          <w:sz w:val="24"/>
          <w:szCs w:val="24"/>
          <w:lang w:val="el-GR"/>
        </w:rPr>
        <w:t>Τ</w:t>
      </w:r>
      <w:r w:rsidR="00F021AB" w:rsidRPr="00F021AB">
        <w:rPr>
          <w:sz w:val="24"/>
          <w:szCs w:val="24"/>
          <w:lang w:val="el-GR"/>
        </w:rPr>
        <w:t xml:space="preserve">ο διάστημα 2016-2019 </w:t>
      </w:r>
      <w:r>
        <w:rPr>
          <w:sz w:val="24"/>
          <w:szCs w:val="24"/>
          <w:lang w:val="el-GR"/>
        </w:rPr>
        <w:t xml:space="preserve">ενώ </w:t>
      </w:r>
      <w:r w:rsidR="00F021AB" w:rsidRPr="00F021AB">
        <w:rPr>
          <w:sz w:val="24"/>
          <w:szCs w:val="24"/>
          <w:lang w:val="el-GR"/>
        </w:rPr>
        <w:t xml:space="preserve">παρατηρείται μια </w:t>
      </w:r>
      <w:r>
        <w:rPr>
          <w:sz w:val="24"/>
          <w:szCs w:val="24"/>
          <w:lang w:val="el-GR"/>
        </w:rPr>
        <w:t>συνεχής</w:t>
      </w:r>
      <w:r w:rsidR="00F021AB" w:rsidRPr="00F021AB">
        <w:rPr>
          <w:sz w:val="24"/>
          <w:szCs w:val="24"/>
          <w:lang w:val="el-GR"/>
        </w:rPr>
        <w:t xml:space="preserve"> αποκλιμάκωση του ποσοστού κινδύνου φτώχειας ή κοινωνικού αποκλεισμού στον πληθυσμό των ατόμων χωρίς αναπηρία</w:t>
      </w:r>
      <w:r w:rsidR="00EB1273">
        <w:rPr>
          <w:sz w:val="24"/>
          <w:szCs w:val="24"/>
          <w:lang w:val="el-GR"/>
        </w:rPr>
        <w:t xml:space="preserve"> (-7 μονάδες)</w:t>
      </w:r>
      <w:r w:rsidR="00BD0FA7">
        <w:rPr>
          <w:sz w:val="24"/>
          <w:szCs w:val="24"/>
          <w:lang w:val="el-GR"/>
        </w:rPr>
        <w:t>,</w:t>
      </w:r>
      <w:r w:rsidR="00F021AB">
        <w:rPr>
          <w:sz w:val="24"/>
          <w:szCs w:val="24"/>
          <w:lang w:val="el-GR"/>
        </w:rPr>
        <w:t xml:space="preserve"> ως συνέπεια της βελτίωσης των οικονομικοκοινωνικών δεικτών της χώρας (αύξηση του </w:t>
      </w:r>
      <w:r w:rsidR="00BD0FA7">
        <w:rPr>
          <w:sz w:val="24"/>
          <w:szCs w:val="24"/>
          <w:lang w:val="el-GR"/>
        </w:rPr>
        <w:t>μέσου διαθέσιμου εισοδήματος</w:t>
      </w:r>
      <w:r w:rsidR="00F021AB">
        <w:rPr>
          <w:sz w:val="24"/>
          <w:szCs w:val="24"/>
          <w:lang w:val="el-GR"/>
        </w:rPr>
        <w:t xml:space="preserve">, μείωση της ανεργίας κ.α.), </w:t>
      </w:r>
      <w:r w:rsidR="00F021AB" w:rsidRPr="00F021AB">
        <w:rPr>
          <w:sz w:val="24"/>
          <w:szCs w:val="24"/>
          <w:lang w:val="el-GR"/>
        </w:rPr>
        <w:t xml:space="preserve">η </w:t>
      </w:r>
      <w:r w:rsidR="00F021AB" w:rsidRPr="00F021AB">
        <w:rPr>
          <w:b/>
          <w:sz w:val="24"/>
          <w:szCs w:val="24"/>
          <w:lang w:val="el-GR"/>
        </w:rPr>
        <w:t>τάση αυτή</w:t>
      </w:r>
      <w:r w:rsidR="00E904D7">
        <w:rPr>
          <w:b/>
          <w:sz w:val="24"/>
          <w:szCs w:val="24"/>
          <w:lang w:val="el-GR"/>
        </w:rPr>
        <w:t>,</w:t>
      </w:r>
      <w:r w:rsidR="00F021AB" w:rsidRPr="00F021AB">
        <w:rPr>
          <w:b/>
          <w:sz w:val="24"/>
          <w:szCs w:val="24"/>
          <w:lang w:val="el-GR"/>
        </w:rPr>
        <w:t xml:space="preserve"> </w:t>
      </w:r>
      <w:r w:rsidR="00E904D7">
        <w:rPr>
          <w:b/>
          <w:sz w:val="24"/>
          <w:szCs w:val="24"/>
          <w:lang w:val="el-GR"/>
        </w:rPr>
        <w:t xml:space="preserve">φαίνεται ότι </w:t>
      </w:r>
      <w:r w:rsidR="00F021AB" w:rsidRPr="00F021AB">
        <w:rPr>
          <w:b/>
          <w:sz w:val="24"/>
          <w:szCs w:val="24"/>
          <w:lang w:val="el-GR"/>
        </w:rPr>
        <w:t>αφήνει πίσω τα άτομα με αναπηρία</w:t>
      </w:r>
      <w:r w:rsidR="00620B00">
        <w:rPr>
          <w:b/>
          <w:sz w:val="24"/>
          <w:szCs w:val="24"/>
          <w:lang w:val="el-GR"/>
        </w:rPr>
        <w:t xml:space="preserve"> </w:t>
      </w:r>
      <w:r w:rsidR="00620B00" w:rsidRPr="00620B00">
        <w:rPr>
          <w:sz w:val="24"/>
          <w:szCs w:val="24"/>
          <w:lang w:val="el-GR"/>
        </w:rPr>
        <w:t>(βλ. γράφημα 3)</w:t>
      </w:r>
      <w:r w:rsidR="00F021AB" w:rsidRPr="00620B00">
        <w:rPr>
          <w:sz w:val="24"/>
          <w:szCs w:val="24"/>
          <w:lang w:val="el-GR"/>
        </w:rPr>
        <w:t xml:space="preserve">. </w:t>
      </w:r>
      <w:r w:rsidR="00F021AB">
        <w:rPr>
          <w:sz w:val="24"/>
          <w:szCs w:val="24"/>
          <w:lang w:val="el-GR"/>
        </w:rPr>
        <w:t xml:space="preserve"> </w:t>
      </w:r>
    </w:p>
    <w:p w14:paraId="79F0C44E" w14:textId="77777777" w:rsidR="00BD0FA7" w:rsidRDefault="00BD0FA7" w:rsidP="00F021AB">
      <w:pPr>
        <w:pStyle w:val="a9"/>
        <w:ind w:left="142"/>
        <w:jc w:val="both"/>
        <w:rPr>
          <w:sz w:val="24"/>
          <w:szCs w:val="24"/>
          <w:lang w:val="el-GR"/>
        </w:rPr>
      </w:pPr>
    </w:p>
    <w:p w14:paraId="24A7E643" w14:textId="77777777" w:rsidR="00EB1273" w:rsidRDefault="00E5558E" w:rsidP="00F021AB">
      <w:pPr>
        <w:pStyle w:val="a9"/>
        <w:ind w:left="142"/>
        <w:jc w:val="both"/>
        <w:rPr>
          <w:sz w:val="24"/>
          <w:szCs w:val="24"/>
          <w:lang w:val="el-GR"/>
        </w:rPr>
      </w:pPr>
      <w:r>
        <w:rPr>
          <w:sz w:val="24"/>
          <w:szCs w:val="24"/>
          <w:lang w:val="el-GR"/>
        </w:rPr>
        <w:t xml:space="preserve">Σε σχέση με το 2016 το ποσοστό φτώχειας ή αποκλεισμού </w:t>
      </w:r>
      <w:r w:rsidR="00620B00">
        <w:rPr>
          <w:sz w:val="24"/>
          <w:szCs w:val="24"/>
          <w:lang w:val="el-GR"/>
        </w:rPr>
        <w:t>στα άτομα με σοβαρή αναπηρία παραμένει σχεδόν αμετάβλητο (</w:t>
      </w:r>
      <w:r>
        <w:rPr>
          <w:sz w:val="24"/>
          <w:szCs w:val="24"/>
          <w:lang w:val="el-GR"/>
        </w:rPr>
        <w:t>μειώνεται κατά 1 μονάδα, μεταβολή που δεν θεωρείται στατιστικά σημαντική</w:t>
      </w:r>
      <w:r w:rsidR="00620B00">
        <w:rPr>
          <w:sz w:val="24"/>
          <w:szCs w:val="24"/>
          <w:lang w:val="el-GR"/>
        </w:rPr>
        <w:t>)</w:t>
      </w:r>
      <w:r>
        <w:rPr>
          <w:sz w:val="24"/>
          <w:szCs w:val="24"/>
          <w:lang w:val="el-GR"/>
        </w:rPr>
        <w:t xml:space="preserve">. </w:t>
      </w:r>
    </w:p>
    <w:p w14:paraId="583970FB" w14:textId="77777777" w:rsidR="00F021AB" w:rsidRDefault="00F021AB" w:rsidP="00273E07">
      <w:pPr>
        <w:ind w:left="142"/>
        <w:jc w:val="both"/>
        <w:rPr>
          <w:rFonts w:ascii="Times New Roman" w:hAnsi="Times New Roman"/>
          <w:sz w:val="24"/>
          <w:szCs w:val="24"/>
          <w:lang w:val="el-GR"/>
        </w:rPr>
      </w:pPr>
      <w:r w:rsidRPr="00BD0FA7">
        <w:rPr>
          <w:b/>
          <w:sz w:val="24"/>
          <w:szCs w:val="24"/>
          <w:lang w:val="el-GR"/>
        </w:rPr>
        <w:t>Σαν αποτέλεσμα έχουμε την εκ νέου διεύρυνση των ανισοτήτων, δηλαδή του χάσματος μεταξύ των ατόμων με σοβαρή αναπηρία και των ατόμων χωρίς αναπηρία</w:t>
      </w:r>
      <w:r w:rsidRPr="00F021AB">
        <w:rPr>
          <w:sz w:val="24"/>
          <w:szCs w:val="24"/>
          <w:lang w:val="el-GR"/>
        </w:rPr>
        <w:t>, ως προς τα επίπεδα της  φτώχειας και κοινωνικού αποκλεισμού</w:t>
      </w:r>
      <w:r w:rsidR="00273E07">
        <w:rPr>
          <w:sz w:val="24"/>
          <w:szCs w:val="24"/>
          <w:lang w:val="el-GR"/>
        </w:rPr>
        <w:t xml:space="preserve"> (βλ. γράφημα 4)</w:t>
      </w:r>
      <w:r w:rsidRPr="00F021AB">
        <w:rPr>
          <w:sz w:val="24"/>
          <w:szCs w:val="24"/>
          <w:lang w:val="el-GR"/>
        </w:rPr>
        <w:t xml:space="preserve">. </w:t>
      </w:r>
    </w:p>
    <w:p w14:paraId="2EB02274" w14:textId="77777777" w:rsidR="00F021AB" w:rsidRPr="005F5798" w:rsidRDefault="00F021AB" w:rsidP="00E50AB6">
      <w:pPr>
        <w:pStyle w:val="a9"/>
        <w:ind w:left="360"/>
        <w:jc w:val="both"/>
        <w:rPr>
          <w:rFonts w:ascii="Times New Roman" w:hAnsi="Times New Roman"/>
          <w:sz w:val="24"/>
          <w:szCs w:val="24"/>
          <w:lang w:val="el-GR"/>
        </w:rPr>
      </w:pPr>
    </w:p>
    <w:p w14:paraId="36268ABE" w14:textId="77777777" w:rsidR="005127E0" w:rsidRDefault="00E07CD8" w:rsidP="00E50AB6">
      <w:pPr>
        <w:jc w:val="both"/>
        <w:rPr>
          <w:b/>
          <w:sz w:val="24"/>
          <w:szCs w:val="24"/>
          <w:u w:val="single"/>
          <w:lang w:val="el-GR"/>
        </w:rPr>
      </w:pPr>
      <w:r w:rsidRPr="00E07CD8">
        <w:rPr>
          <w:b/>
          <w:sz w:val="24"/>
          <w:szCs w:val="24"/>
          <w:u w:val="single"/>
          <w:lang w:val="el-GR"/>
        </w:rPr>
        <w:t xml:space="preserve">Ποσοστό </w:t>
      </w:r>
      <w:r w:rsidR="00BD0FA7">
        <w:rPr>
          <w:b/>
          <w:sz w:val="24"/>
          <w:szCs w:val="24"/>
          <w:u w:val="single"/>
          <w:lang w:val="el-GR"/>
        </w:rPr>
        <w:t>Κινδύνου</w:t>
      </w:r>
      <w:r w:rsidR="005127E0" w:rsidRPr="00E07CD8">
        <w:rPr>
          <w:b/>
          <w:sz w:val="24"/>
          <w:szCs w:val="24"/>
          <w:u w:val="single"/>
          <w:lang w:val="el-GR"/>
        </w:rPr>
        <w:t xml:space="preserve"> </w:t>
      </w:r>
      <w:r w:rsidRPr="00E07CD8">
        <w:rPr>
          <w:b/>
          <w:sz w:val="24"/>
          <w:szCs w:val="24"/>
          <w:u w:val="single"/>
          <w:lang w:val="el-GR"/>
        </w:rPr>
        <w:t xml:space="preserve">(σχετικής) </w:t>
      </w:r>
      <w:r w:rsidR="005127E0" w:rsidRPr="00E07CD8">
        <w:rPr>
          <w:b/>
          <w:sz w:val="24"/>
          <w:szCs w:val="24"/>
          <w:u w:val="single"/>
          <w:lang w:val="el-GR"/>
        </w:rPr>
        <w:t>φτώχειας</w:t>
      </w:r>
    </w:p>
    <w:p w14:paraId="7FA56340" w14:textId="77777777" w:rsidR="00044D92" w:rsidRPr="00044D92" w:rsidRDefault="00044D92" w:rsidP="00F4074C">
      <w:pPr>
        <w:jc w:val="both"/>
        <w:rPr>
          <w:sz w:val="24"/>
          <w:szCs w:val="24"/>
          <w:lang w:val="el-GR"/>
        </w:rPr>
      </w:pPr>
      <w:r w:rsidRPr="00044D92">
        <w:rPr>
          <w:sz w:val="24"/>
          <w:szCs w:val="24"/>
          <w:lang w:val="el-GR"/>
        </w:rPr>
        <w:t>Το γενικό ποσοστό κινδύνου φτώχειας σε όρους ονομαστικού εισοδήματος, συμπεριλαμβανομένων των κοινωνικών μεταβιβάσεων (επιδόματα και συντάξεις)</w:t>
      </w:r>
      <w:r>
        <w:rPr>
          <w:sz w:val="24"/>
          <w:szCs w:val="24"/>
          <w:lang w:val="el-GR"/>
        </w:rPr>
        <w:t xml:space="preserve">, </w:t>
      </w:r>
      <w:r w:rsidRPr="00044D92">
        <w:rPr>
          <w:sz w:val="24"/>
          <w:szCs w:val="24"/>
          <w:lang w:val="el-GR"/>
        </w:rPr>
        <w:t>είναι σημαντικά υψηλότερο για τα άτομα με αναπηρία που βρίσκονται στις πλέον παραγωγικές ηλικ</w:t>
      </w:r>
      <w:r>
        <w:rPr>
          <w:sz w:val="24"/>
          <w:szCs w:val="24"/>
          <w:lang w:val="el-GR"/>
        </w:rPr>
        <w:t>ίες.</w:t>
      </w:r>
    </w:p>
    <w:p w14:paraId="06DD925A" w14:textId="77777777" w:rsidR="003855FE" w:rsidRPr="003855FE" w:rsidRDefault="003855FE" w:rsidP="003855FE">
      <w:pPr>
        <w:rPr>
          <w:sz w:val="24"/>
          <w:szCs w:val="24"/>
          <w:lang w:val="el-GR"/>
        </w:rPr>
      </w:pPr>
      <w:r w:rsidRPr="003855FE">
        <w:rPr>
          <w:sz w:val="24"/>
          <w:szCs w:val="24"/>
          <w:lang w:val="el-GR"/>
        </w:rPr>
        <w:t xml:space="preserve">Ειδικότερα, σε κίνδυνο φτώχειας βρίσκεται: </w:t>
      </w:r>
    </w:p>
    <w:p w14:paraId="7D444329" w14:textId="77777777" w:rsidR="003855FE" w:rsidRPr="003855FE" w:rsidRDefault="003855FE" w:rsidP="003855FE">
      <w:pPr>
        <w:pStyle w:val="a9"/>
        <w:numPr>
          <w:ilvl w:val="0"/>
          <w:numId w:val="12"/>
        </w:numPr>
        <w:jc w:val="both"/>
        <w:rPr>
          <w:sz w:val="24"/>
          <w:szCs w:val="24"/>
          <w:lang w:val="el-GR"/>
        </w:rPr>
      </w:pPr>
      <w:r w:rsidRPr="003855FE">
        <w:rPr>
          <w:sz w:val="24"/>
          <w:szCs w:val="24"/>
          <w:lang w:val="el-GR"/>
        </w:rPr>
        <w:t>Το 30,7% του πληθυσμού με αναπηρία 25-34 ετών (έναντι του 17,1% του πληθυσμού χωρίς αναπηρία),</w:t>
      </w:r>
    </w:p>
    <w:p w14:paraId="3ED16C23" w14:textId="77777777" w:rsidR="003855FE" w:rsidRPr="003855FE" w:rsidRDefault="003855FE" w:rsidP="003855FE">
      <w:pPr>
        <w:pStyle w:val="a9"/>
        <w:numPr>
          <w:ilvl w:val="0"/>
          <w:numId w:val="12"/>
        </w:numPr>
        <w:jc w:val="both"/>
        <w:rPr>
          <w:sz w:val="24"/>
          <w:szCs w:val="24"/>
          <w:lang w:val="el-GR"/>
        </w:rPr>
      </w:pPr>
      <w:r w:rsidRPr="003855FE">
        <w:rPr>
          <w:sz w:val="24"/>
          <w:szCs w:val="24"/>
          <w:lang w:val="el-GR"/>
        </w:rPr>
        <w:t>Το 25,3% του πληθυσμού με αναπηρία 35-44 ετών (έναντι του 16,4% του πληθυσμού χωρίς αναπηρία),</w:t>
      </w:r>
    </w:p>
    <w:p w14:paraId="032E5874" w14:textId="77777777" w:rsidR="003855FE" w:rsidRPr="003855FE" w:rsidRDefault="003855FE" w:rsidP="003855FE">
      <w:pPr>
        <w:pStyle w:val="a9"/>
        <w:numPr>
          <w:ilvl w:val="0"/>
          <w:numId w:val="12"/>
        </w:numPr>
        <w:jc w:val="both"/>
        <w:rPr>
          <w:sz w:val="24"/>
          <w:szCs w:val="24"/>
          <w:lang w:val="el-GR"/>
        </w:rPr>
      </w:pPr>
      <w:r w:rsidRPr="003855FE">
        <w:rPr>
          <w:sz w:val="24"/>
          <w:szCs w:val="24"/>
          <w:lang w:val="el-GR"/>
        </w:rPr>
        <w:t>Το 24,6% του πληθυσμού με αναπηρία 45-54 ετών (έναντι του 17,5% του πληθυσμού χωρίς αναπηρία),</w:t>
      </w:r>
    </w:p>
    <w:p w14:paraId="24041689" w14:textId="77777777" w:rsidR="003855FE" w:rsidRPr="003855FE" w:rsidRDefault="003855FE" w:rsidP="003855FE">
      <w:pPr>
        <w:pStyle w:val="a9"/>
        <w:numPr>
          <w:ilvl w:val="0"/>
          <w:numId w:val="12"/>
        </w:numPr>
        <w:jc w:val="both"/>
        <w:rPr>
          <w:sz w:val="24"/>
          <w:szCs w:val="24"/>
          <w:lang w:val="el-GR"/>
        </w:rPr>
      </w:pPr>
      <w:r w:rsidRPr="003855FE">
        <w:rPr>
          <w:sz w:val="24"/>
          <w:szCs w:val="24"/>
          <w:lang w:val="el-GR"/>
        </w:rPr>
        <w:t>Το 24,3% του πληθυσμού με αναπηρία 55-64 ετών (έναντι του 16,7% του πληθυσμού χωρίς αναπηρία).</w:t>
      </w:r>
    </w:p>
    <w:p w14:paraId="4BE148AF" w14:textId="77777777" w:rsidR="00044D92" w:rsidRDefault="00044D92" w:rsidP="00044D92">
      <w:pPr>
        <w:ind w:left="142"/>
        <w:jc w:val="both"/>
        <w:rPr>
          <w:sz w:val="24"/>
          <w:szCs w:val="24"/>
          <w:lang w:val="el-GR"/>
        </w:rPr>
      </w:pPr>
    </w:p>
    <w:p w14:paraId="1CAE33EC" w14:textId="77777777" w:rsidR="003855FE" w:rsidRDefault="003855FE" w:rsidP="00044D92">
      <w:pPr>
        <w:ind w:left="142"/>
        <w:jc w:val="both"/>
        <w:rPr>
          <w:sz w:val="24"/>
          <w:szCs w:val="24"/>
          <w:lang w:val="el-GR"/>
        </w:rPr>
      </w:pPr>
    </w:p>
    <w:p w14:paraId="620AB01C" w14:textId="77777777" w:rsidR="00413974" w:rsidRDefault="003855FE" w:rsidP="00044D92">
      <w:pPr>
        <w:ind w:left="142"/>
        <w:jc w:val="both"/>
        <w:rPr>
          <w:sz w:val="24"/>
          <w:szCs w:val="24"/>
          <w:lang w:val="el-GR"/>
        </w:rPr>
      </w:pPr>
      <w:r w:rsidRPr="00BD0FA7">
        <w:rPr>
          <w:b/>
          <w:sz w:val="24"/>
          <w:szCs w:val="24"/>
          <w:lang w:val="el-GR"/>
        </w:rPr>
        <w:t>Αφαιρώντας τις κοινωνικές μεταβιβάσεις</w:t>
      </w:r>
      <w:r w:rsidR="006F55DD" w:rsidRPr="00BD0FA7">
        <w:rPr>
          <w:b/>
          <w:sz w:val="24"/>
          <w:szCs w:val="24"/>
          <w:lang w:val="el-GR"/>
        </w:rPr>
        <w:t xml:space="preserve"> από το διαθέσιμο εισόδημα</w:t>
      </w:r>
      <w:r w:rsidRPr="00BD0FA7">
        <w:rPr>
          <w:b/>
          <w:sz w:val="24"/>
          <w:szCs w:val="24"/>
          <w:lang w:val="el-GR"/>
        </w:rPr>
        <w:t xml:space="preserve"> αποκαλ</w:t>
      </w:r>
      <w:r w:rsidR="006F55DD" w:rsidRPr="00BD0FA7">
        <w:rPr>
          <w:b/>
          <w:sz w:val="24"/>
          <w:szCs w:val="24"/>
          <w:lang w:val="el-GR"/>
        </w:rPr>
        <w:t>ύπτονται οι δομικές ανισότητες που αντιμετωπίζουν τα άτομα με αναπηρία</w:t>
      </w:r>
      <w:r w:rsidR="006F55DD">
        <w:rPr>
          <w:sz w:val="24"/>
          <w:szCs w:val="24"/>
          <w:lang w:val="el-GR"/>
        </w:rPr>
        <w:t xml:space="preserve"> ως προς την πρόσβαση στην εργασία που αποτελεί την πρωταρχική πηγή εισοδήματος. </w:t>
      </w:r>
    </w:p>
    <w:p w14:paraId="4F131809" w14:textId="362CFD24" w:rsidR="003A48E6" w:rsidRPr="00044D92" w:rsidRDefault="006F55DD" w:rsidP="00044D92">
      <w:pPr>
        <w:ind w:left="142"/>
        <w:jc w:val="both"/>
        <w:rPr>
          <w:sz w:val="24"/>
          <w:szCs w:val="24"/>
          <w:lang w:val="el-GR"/>
        </w:rPr>
      </w:pPr>
      <w:r w:rsidRPr="00BD0FA7">
        <w:rPr>
          <w:b/>
          <w:sz w:val="24"/>
          <w:szCs w:val="24"/>
          <w:lang w:val="el-GR"/>
        </w:rPr>
        <w:t>Τ</w:t>
      </w:r>
      <w:r w:rsidR="003855FE" w:rsidRPr="00BD0FA7">
        <w:rPr>
          <w:b/>
          <w:sz w:val="24"/>
          <w:szCs w:val="24"/>
          <w:lang w:val="el-GR"/>
        </w:rPr>
        <w:t xml:space="preserve">ο </w:t>
      </w:r>
      <w:r w:rsidR="003A48E6" w:rsidRPr="00BD0FA7">
        <w:rPr>
          <w:b/>
          <w:sz w:val="24"/>
          <w:szCs w:val="24"/>
          <w:lang w:val="el-GR"/>
        </w:rPr>
        <w:t xml:space="preserve">ποσοστό κινδύνου φτώχειας πριν από όλες τις κοινωνικές μεταβιβάσεις αγγίζει το 65,4% στον πληθυσμό των ατόμων με σοβαρή αναπηρία </w:t>
      </w:r>
      <w:r w:rsidR="003855FE" w:rsidRPr="00BD0FA7">
        <w:rPr>
          <w:b/>
          <w:sz w:val="24"/>
          <w:szCs w:val="24"/>
          <w:lang w:val="el-GR"/>
        </w:rPr>
        <w:t>ηλικίας 16-64</w:t>
      </w:r>
      <w:r w:rsidR="003855FE">
        <w:rPr>
          <w:sz w:val="24"/>
          <w:szCs w:val="24"/>
          <w:lang w:val="el-GR"/>
        </w:rPr>
        <w:t xml:space="preserve"> </w:t>
      </w:r>
      <w:r w:rsidR="003A48E6" w:rsidRPr="00044D92">
        <w:rPr>
          <w:sz w:val="24"/>
          <w:szCs w:val="24"/>
          <w:lang w:val="el-GR"/>
        </w:rPr>
        <w:t>και το 57,8% στην ομάδα με μετρίου βαθμού περιορι</w:t>
      </w:r>
      <w:r w:rsidR="003855FE">
        <w:rPr>
          <w:sz w:val="24"/>
          <w:szCs w:val="24"/>
          <w:lang w:val="el-GR"/>
        </w:rPr>
        <w:t>σμό δραστηριότητας, όταν</w:t>
      </w:r>
      <w:r w:rsidR="003A48E6" w:rsidRPr="00044D92">
        <w:rPr>
          <w:sz w:val="24"/>
          <w:szCs w:val="24"/>
          <w:lang w:val="el-GR"/>
        </w:rPr>
        <w:t xml:space="preserve"> στον πληθυσμό χωρίς αναπηρία ανέρχεται στο 36,1%. </w:t>
      </w:r>
    </w:p>
    <w:p w14:paraId="2A8DE065" w14:textId="77777777" w:rsidR="00E07CD8" w:rsidRPr="00E07CD8" w:rsidRDefault="00E07CD8" w:rsidP="00E07CD8">
      <w:pPr>
        <w:jc w:val="both"/>
        <w:rPr>
          <w:rFonts w:ascii="Times New Roman" w:hAnsi="Times New Roman"/>
          <w:sz w:val="24"/>
          <w:szCs w:val="24"/>
          <w:lang w:val="el-GR"/>
        </w:rPr>
      </w:pPr>
    </w:p>
    <w:p w14:paraId="1FE65557" w14:textId="77777777" w:rsidR="005127E0" w:rsidRPr="00413974" w:rsidRDefault="00BD0FA7" w:rsidP="005127E0">
      <w:pPr>
        <w:jc w:val="both"/>
        <w:rPr>
          <w:b/>
          <w:sz w:val="24"/>
          <w:szCs w:val="24"/>
          <w:u w:val="single"/>
          <w:lang w:val="el-GR"/>
        </w:rPr>
      </w:pPr>
      <w:r>
        <w:rPr>
          <w:b/>
          <w:sz w:val="24"/>
          <w:szCs w:val="24"/>
          <w:u w:val="single"/>
          <w:lang w:val="el-GR"/>
        </w:rPr>
        <w:t>Ποσοστό πληθυσμού που διαβιεί σε νοικοκυριά με υ</w:t>
      </w:r>
      <w:r w:rsidR="005127E0" w:rsidRPr="00413974">
        <w:rPr>
          <w:b/>
          <w:sz w:val="24"/>
          <w:szCs w:val="24"/>
          <w:u w:val="single"/>
          <w:lang w:val="el-GR"/>
        </w:rPr>
        <w:t>λικές στερήσεις</w:t>
      </w:r>
    </w:p>
    <w:p w14:paraId="6264AB7E" w14:textId="77777777" w:rsidR="004D6D0C" w:rsidRPr="00BD0FA7" w:rsidRDefault="004D6D0C" w:rsidP="004D6D0C">
      <w:pPr>
        <w:pStyle w:val="a9"/>
        <w:numPr>
          <w:ilvl w:val="0"/>
          <w:numId w:val="12"/>
        </w:numPr>
        <w:jc w:val="both"/>
        <w:rPr>
          <w:sz w:val="24"/>
          <w:szCs w:val="24"/>
          <w:lang w:val="el-GR"/>
        </w:rPr>
      </w:pPr>
      <w:r w:rsidRPr="00BD0FA7">
        <w:rPr>
          <w:sz w:val="24"/>
          <w:szCs w:val="24"/>
          <w:lang w:val="el-GR"/>
        </w:rPr>
        <w:t>Το 2019, σοβαρές υλικές στερήσεις αντιμετωπίζει το 31% των ατόμων ηλικίας 16-64 ετών με σοβαρή αναπηρία, και το 17,6% των ατόμων με σοβαρή αναπηρία ηλικίας 65+. Ωστόσο, και στις δύο ηλικιακές ομάδες τα ποσοστά είναι σχεδόν διπλάσια από τα αντίστοιχα που καταγράφονται στα άτομα χωρίς αναπηρία.</w:t>
      </w:r>
    </w:p>
    <w:p w14:paraId="4B13E627" w14:textId="76F83135" w:rsidR="00413974" w:rsidRPr="00BD0FA7" w:rsidRDefault="000D3BE7" w:rsidP="00413974">
      <w:pPr>
        <w:pStyle w:val="a9"/>
        <w:numPr>
          <w:ilvl w:val="0"/>
          <w:numId w:val="12"/>
        </w:numPr>
        <w:jc w:val="both"/>
        <w:rPr>
          <w:sz w:val="24"/>
          <w:szCs w:val="24"/>
          <w:lang w:val="el-GR"/>
        </w:rPr>
      </w:pPr>
      <w:r w:rsidRPr="00BD0FA7">
        <w:rPr>
          <w:sz w:val="24"/>
          <w:szCs w:val="24"/>
          <w:lang w:val="el-GR"/>
        </w:rPr>
        <w:t xml:space="preserve">Η διαχρονική εξέλιξη του δείκτη </w:t>
      </w:r>
      <w:r w:rsidR="00E50AB6" w:rsidRPr="00BD0FA7">
        <w:rPr>
          <w:sz w:val="24"/>
          <w:szCs w:val="24"/>
          <w:lang w:val="el-GR"/>
        </w:rPr>
        <w:t xml:space="preserve">υλικής στέρησης </w:t>
      </w:r>
      <w:r w:rsidRPr="00BD0FA7">
        <w:rPr>
          <w:sz w:val="24"/>
          <w:szCs w:val="24"/>
          <w:lang w:val="el-GR"/>
        </w:rPr>
        <w:t>καταδεικνύει τη σταθερή αύξηση της υλικής στέρησης κατά τη διάρκει</w:t>
      </w:r>
      <w:r w:rsidR="004A6923">
        <w:rPr>
          <w:sz w:val="24"/>
          <w:szCs w:val="24"/>
          <w:lang w:val="el-GR"/>
        </w:rPr>
        <w:t>α των ετών από το 2010 και μετά</w:t>
      </w:r>
      <w:r w:rsidRPr="00BD0FA7">
        <w:rPr>
          <w:sz w:val="24"/>
          <w:szCs w:val="24"/>
          <w:lang w:val="el-GR"/>
        </w:rPr>
        <w:t xml:space="preserve"> σε όλες τις κατηγορίες πληθυσμού, ενώ τα έτη 2018 και 2019 διαπιστώνεται </w:t>
      </w:r>
      <w:r w:rsidR="00432806" w:rsidRPr="00BD0FA7">
        <w:rPr>
          <w:sz w:val="24"/>
          <w:szCs w:val="24"/>
          <w:lang w:val="el-GR"/>
        </w:rPr>
        <w:t xml:space="preserve">σχετική </w:t>
      </w:r>
      <w:r w:rsidRPr="00BD0FA7">
        <w:rPr>
          <w:sz w:val="24"/>
          <w:szCs w:val="24"/>
          <w:lang w:val="el-GR"/>
        </w:rPr>
        <w:t xml:space="preserve">αποκλιμάκωση του φαινομένου. </w:t>
      </w:r>
    </w:p>
    <w:p w14:paraId="557136CA" w14:textId="77777777" w:rsidR="00432806" w:rsidRPr="00432806" w:rsidRDefault="00432806" w:rsidP="00432806">
      <w:pPr>
        <w:pStyle w:val="a9"/>
        <w:ind w:left="360"/>
        <w:jc w:val="both"/>
        <w:rPr>
          <w:rFonts w:ascii="Times New Roman" w:hAnsi="Times New Roman"/>
          <w:sz w:val="24"/>
          <w:szCs w:val="24"/>
          <w:lang w:val="el-GR"/>
        </w:rPr>
      </w:pPr>
    </w:p>
    <w:p w14:paraId="734FCE4D" w14:textId="77777777" w:rsidR="005127E0" w:rsidRPr="00413974" w:rsidRDefault="004A6923" w:rsidP="005127E0">
      <w:pPr>
        <w:jc w:val="both"/>
        <w:rPr>
          <w:b/>
          <w:sz w:val="24"/>
          <w:szCs w:val="24"/>
          <w:u w:val="single"/>
          <w:lang w:val="el-GR"/>
        </w:rPr>
      </w:pPr>
      <w:r>
        <w:rPr>
          <w:b/>
          <w:sz w:val="24"/>
          <w:szCs w:val="24"/>
          <w:u w:val="single"/>
          <w:lang w:val="el-GR"/>
        </w:rPr>
        <w:t xml:space="preserve">Ποσοστό πληθυσμού που διαβιεί </w:t>
      </w:r>
      <w:r w:rsidR="005127E0" w:rsidRPr="00413974">
        <w:rPr>
          <w:b/>
          <w:sz w:val="24"/>
          <w:szCs w:val="24"/>
          <w:u w:val="single"/>
          <w:lang w:val="el-GR"/>
        </w:rPr>
        <w:t>σε νοικοκυριά με χαμηλή ένταση εργασίας</w:t>
      </w:r>
    </w:p>
    <w:p w14:paraId="57AA67E4" w14:textId="77777777" w:rsidR="00E02577" w:rsidRDefault="004D6D0C" w:rsidP="004D6D0C">
      <w:pPr>
        <w:pStyle w:val="a9"/>
        <w:numPr>
          <w:ilvl w:val="0"/>
          <w:numId w:val="12"/>
        </w:numPr>
        <w:jc w:val="both"/>
        <w:rPr>
          <w:sz w:val="24"/>
          <w:szCs w:val="24"/>
          <w:lang w:val="el-GR"/>
        </w:rPr>
      </w:pPr>
      <w:r w:rsidRPr="004A6923">
        <w:rPr>
          <w:sz w:val="24"/>
          <w:szCs w:val="24"/>
          <w:lang w:val="el-GR"/>
        </w:rPr>
        <w:t xml:space="preserve">Το 2019 σχεδόν οι  5 στους 10 με σοβαρή αναπηρία διαβιούν σε νοικοκυριά των οποίων τα μέλη υποαπασχολούνται  ή και βρίσκονται σε καθεστώς ανεργίας. </w:t>
      </w:r>
    </w:p>
    <w:p w14:paraId="3F6082D9" w14:textId="77777777" w:rsidR="004D6D0C" w:rsidRPr="004A6923" w:rsidRDefault="004D6D0C" w:rsidP="004D6D0C">
      <w:pPr>
        <w:pStyle w:val="a9"/>
        <w:numPr>
          <w:ilvl w:val="0"/>
          <w:numId w:val="12"/>
        </w:numPr>
        <w:jc w:val="both"/>
        <w:rPr>
          <w:sz w:val="24"/>
          <w:szCs w:val="24"/>
          <w:lang w:val="el-GR"/>
        </w:rPr>
      </w:pPr>
      <w:r w:rsidRPr="00E02577">
        <w:rPr>
          <w:b/>
          <w:sz w:val="24"/>
          <w:szCs w:val="24"/>
          <w:lang w:val="el-GR"/>
        </w:rPr>
        <w:t>Μάλιστα από το έτος 2016 και έπειτα διαπιστώνεται αύξηση των ποσοστών ατόμων με αναπηρία που διαβιούν σε νοικοκυριά με χαμηλή ένταση εργασίας</w:t>
      </w:r>
      <w:r w:rsidRPr="004A6923">
        <w:rPr>
          <w:sz w:val="24"/>
          <w:szCs w:val="24"/>
          <w:lang w:val="el-GR"/>
        </w:rPr>
        <w:t xml:space="preserve">, όταν στον πληθυσμό χωρίς αναπηρία σημειώνεται σταθερή κάμψη του εν λόγω ποσοστού. </w:t>
      </w:r>
    </w:p>
    <w:p w14:paraId="7488A3AF" w14:textId="77777777" w:rsidR="004D6D0C" w:rsidRDefault="004D6D0C" w:rsidP="004D6D0C">
      <w:pPr>
        <w:jc w:val="both"/>
        <w:rPr>
          <w:rFonts w:ascii="Times New Roman" w:hAnsi="Times New Roman"/>
          <w:sz w:val="24"/>
          <w:szCs w:val="24"/>
          <w:highlight w:val="yellow"/>
          <w:lang w:val="el-GR"/>
        </w:rPr>
      </w:pPr>
    </w:p>
    <w:p w14:paraId="5AB5D92E" w14:textId="35B2C82E" w:rsidR="00D86E20" w:rsidRDefault="00D86E20">
      <w:pPr>
        <w:rPr>
          <w:rFonts w:eastAsia="Times New Roman" w:cs="Times New Roman"/>
          <w:sz w:val="10"/>
          <w:szCs w:val="10"/>
          <w:lang w:val="el-GR"/>
        </w:rPr>
      </w:pPr>
      <w:r>
        <w:rPr>
          <w:rFonts w:eastAsia="Times New Roman" w:cs="Times New Roman"/>
          <w:sz w:val="10"/>
          <w:szCs w:val="10"/>
          <w:lang w:val="el-GR"/>
        </w:rPr>
        <w:br w:type="page"/>
      </w:r>
    </w:p>
    <w:p w14:paraId="26B668E0" w14:textId="77777777" w:rsidR="00E17F27" w:rsidRPr="00E17F27" w:rsidRDefault="00E17F27" w:rsidP="00E17F27">
      <w:pPr>
        <w:spacing w:after="0" w:line="240" w:lineRule="auto"/>
        <w:rPr>
          <w:rFonts w:eastAsia="Times New Roman" w:cs="Times New Roman"/>
          <w:sz w:val="10"/>
          <w:szCs w:val="10"/>
          <w:lang w:val="el-GR"/>
        </w:rPr>
      </w:pPr>
    </w:p>
    <w:p w14:paraId="0D5995BA" w14:textId="77777777" w:rsidR="00E17F27" w:rsidRPr="00E17F27" w:rsidRDefault="00E17F27" w:rsidP="00E17F27">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center"/>
        <w:rPr>
          <w:rFonts w:eastAsia="Times New Roman" w:cs="Times New Roman"/>
          <w:b/>
          <w:sz w:val="32"/>
          <w:szCs w:val="32"/>
          <w:u w:val="single"/>
          <w:lang w:val="el-GR"/>
        </w:rPr>
      </w:pPr>
      <w:r w:rsidRPr="00E17F27">
        <w:rPr>
          <w:rFonts w:eastAsia="Times New Roman" w:cs="Times New Roman"/>
          <w:b/>
          <w:sz w:val="32"/>
          <w:szCs w:val="32"/>
          <w:u w:val="single"/>
          <w:lang w:val="el-GR"/>
        </w:rPr>
        <w:t>ΒΑΣΙΚΑ ΣΥΜΠΕΡΑΣΜΑΤΑ</w:t>
      </w:r>
    </w:p>
    <w:p w14:paraId="40D1B625" w14:textId="3EE21CE3" w:rsidR="00C87E2A" w:rsidRPr="004B1F01" w:rsidRDefault="005E53FE" w:rsidP="004B1F01">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Pr>
          <w:rFonts w:eastAsia="Times New Roman" w:cs="Times New Roman"/>
          <w:lang w:val="el-GR"/>
        </w:rPr>
        <w:t>Όπως επιβεβαιώνεται σ</w:t>
      </w:r>
      <w:r w:rsidR="00E02577" w:rsidRPr="004B1F01">
        <w:rPr>
          <w:rFonts w:eastAsia="Times New Roman" w:cs="Times New Roman"/>
          <w:lang w:val="el-GR"/>
        </w:rPr>
        <w:t xml:space="preserve">το </w:t>
      </w:r>
      <w:r>
        <w:rPr>
          <w:rFonts w:eastAsia="Times New Roman" w:cs="Times New Roman"/>
          <w:lang w:val="el-GR"/>
        </w:rPr>
        <w:t xml:space="preserve">παρόν δελτίο </w:t>
      </w:r>
      <w:r w:rsidR="00E02577" w:rsidRPr="004B1F01">
        <w:rPr>
          <w:rFonts w:eastAsia="Times New Roman" w:cs="Times New Roman"/>
          <w:lang w:val="el-GR"/>
        </w:rPr>
        <w:t>του Παρατηρητηρίου, η φτώχεια και η αναπηρία είναι ζεύγος αχ</w:t>
      </w:r>
      <w:r w:rsidR="00C87E2A" w:rsidRPr="004B1F01">
        <w:rPr>
          <w:rFonts w:eastAsia="Times New Roman" w:cs="Times New Roman"/>
          <w:lang w:val="el-GR"/>
        </w:rPr>
        <w:t>ώριστο</w:t>
      </w:r>
      <w:r w:rsidR="00814404" w:rsidRPr="004B1F01">
        <w:rPr>
          <w:rFonts w:eastAsia="Times New Roman" w:cs="Times New Roman"/>
          <w:lang w:val="el-GR"/>
        </w:rPr>
        <w:t>. Τόσο σε επίπεδο εισοδήματος όσο και σε επίπεδο υλικών συνθηκών διαβίωσης, τα άτομα με αναπηρία και οι οικογένειές τους αναδεικνύονται διαχρονικά οι «φτωχότεροι μεταξύ των φτωχών».</w:t>
      </w:r>
    </w:p>
    <w:p w14:paraId="48457E69" w14:textId="77777777" w:rsidR="00C87E2A" w:rsidRPr="004B1F01" w:rsidRDefault="00C87E2A" w:rsidP="004B1F01">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sidRPr="004B1F01">
        <w:rPr>
          <w:rFonts w:eastAsia="Times New Roman" w:cs="Times New Roman"/>
          <w:lang w:val="el-GR"/>
        </w:rPr>
        <w:t xml:space="preserve">Τα  </w:t>
      </w:r>
      <w:r w:rsidR="00FA27EC">
        <w:rPr>
          <w:rFonts w:eastAsia="Times New Roman" w:cs="Times New Roman"/>
          <w:lang w:val="el-GR"/>
        </w:rPr>
        <w:t xml:space="preserve">συμπεράσματα </w:t>
      </w:r>
      <w:r w:rsidRPr="004B1F01">
        <w:rPr>
          <w:rFonts w:eastAsia="Times New Roman" w:cs="Times New Roman"/>
          <w:lang w:val="el-GR"/>
        </w:rPr>
        <w:t>που προκύπτουν είναι πολύ ανησυχητικά. Η έκταση του φαινομένου της φτώχειας και του κοινωνικού αποκλεισμού στα άτομα με σοβαρή αναπηρ</w:t>
      </w:r>
      <w:r w:rsidR="003910F9" w:rsidRPr="004B1F01">
        <w:rPr>
          <w:rFonts w:eastAsia="Times New Roman" w:cs="Times New Roman"/>
          <w:lang w:val="el-GR"/>
        </w:rPr>
        <w:t>ία 16-64 ετών</w:t>
      </w:r>
      <w:r w:rsidRPr="004B1F01">
        <w:rPr>
          <w:rFonts w:eastAsia="Times New Roman" w:cs="Times New Roman"/>
          <w:lang w:val="el-GR"/>
        </w:rPr>
        <w:t xml:space="preserve">, με το 60% να </w:t>
      </w:r>
      <w:r w:rsidR="005E53FE">
        <w:rPr>
          <w:rFonts w:eastAsia="Times New Roman" w:cs="Times New Roman"/>
          <w:lang w:val="el-GR"/>
        </w:rPr>
        <w:t>βρίσκεται σ</w:t>
      </w:r>
      <w:r w:rsidRPr="004B1F01">
        <w:rPr>
          <w:rFonts w:eastAsia="Times New Roman" w:cs="Times New Roman"/>
          <w:lang w:val="el-GR"/>
        </w:rPr>
        <w:t xml:space="preserve">το φάσμα της φτώχειας ή </w:t>
      </w:r>
      <w:r w:rsidR="005E53FE">
        <w:rPr>
          <w:rFonts w:eastAsia="Times New Roman" w:cs="Times New Roman"/>
          <w:lang w:val="el-GR"/>
        </w:rPr>
        <w:t>σε</w:t>
      </w:r>
      <w:r w:rsidRPr="004B1F01">
        <w:rPr>
          <w:rFonts w:eastAsia="Times New Roman" w:cs="Times New Roman"/>
          <w:lang w:val="el-GR"/>
        </w:rPr>
        <w:t xml:space="preserve"> κοινωνικό αποκλεισμό, σκιαγραφούν την εικόνα μιας </w:t>
      </w:r>
      <w:r w:rsidR="00232D4D" w:rsidRPr="004B1F01">
        <w:rPr>
          <w:rFonts w:eastAsia="Times New Roman" w:cs="Times New Roman"/>
          <w:lang w:val="el-GR"/>
        </w:rPr>
        <w:t xml:space="preserve">κοινωνίας </w:t>
      </w:r>
      <w:r w:rsidR="003910F9" w:rsidRPr="004B1F01">
        <w:rPr>
          <w:rFonts w:eastAsia="Times New Roman" w:cs="Times New Roman"/>
          <w:lang w:val="el-GR"/>
        </w:rPr>
        <w:t>απροσπέλαστη</w:t>
      </w:r>
      <w:r w:rsidR="005E53FE">
        <w:rPr>
          <w:rFonts w:eastAsia="Times New Roman" w:cs="Times New Roman"/>
          <w:lang w:val="el-GR"/>
        </w:rPr>
        <w:t xml:space="preserve">ς, για </w:t>
      </w:r>
      <w:r w:rsidR="00232D4D" w:rsidRPr="004B1F01">
        <w:rPr>
          <w:rFonts w:eastAsia="Times New Roman" w:cs="Times New Roman"/>
          <w:lang w:val="el-GR"/>
        </w:rPr>
        <w:t xml:space="preserve">μια </w:t>
      </w:r>
      <w:r w:rsidR="00757025">
        <w:rPr>
          <w:rFonts w:eastAsia="Times New Roman" w:cs="Times New Roman"/>
          <w:lang w:val="el-GR"/>
        </w:rPr>
        <w:t>εκτεταμένη</w:t>
      </w:r>
      <w:r w:rsidR="003910F9" w:rsidRPr="004B1F01">
        <w:rPr>
          <w:rFonts w:eastAsia="Times New Roman" w:cs="Times New Roman"/>
          <w:lang w:val="el-GR"/>
        </w:rPr>
        <w:t xml:space="preserve"> κατηγορία νέων ανθρώπων και πολιτών με αναπηρία</w:t>
      </w:r>
      <w:r w:rsidR="004B1F01">
        <w:rPr>
          <w:rFonts w:eastAsia="Times New Roman" w:cs="Times New Roman"/>
          <w:lang w:val="el-GR"/>
        </w:rPr>
        <w:t xml:space="preserve"> ή/και χρόνιες παθήσεις</w:t>
      </w:r>
      <w:r w:rsidR="005E53FE">
        <w:rPr>
          <w:rFonts w:eastAsia="Times New Roman" w:cs="Times New Roman"/>
          <w:lang w:val="el-GR"/>
        </w:rPr>
        <w:t>,</w:t>
      </w:r>
      <w:r w:rsidR="003910F9" w:rsidRPr="004B1F01">
        <w:rPr>
          <w:rFonts w:eastAsia="Times New Roman" w:cs="Times New Roman"/>
          <w:lang w:val="el-GR"/>
        </w:rPr>
        <w:t xml:space="preserve"> στις πλέον παραγωγικές ηλικίες.</w:t>
      </w:r>
    </w:p>
    <w:p w14:paraId="2D0F5B3C" w14:textId="3D94ADFA" w:rsidR="001A0DAE" w:rsidRDefault="00E02577" w:rsidP="004B1F01">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sidRPr="004B1F01">
        <w:rPr>
          <w:rFonts w:eastAsia="Times New Roman" w:cs="Times New Roman"/>
          <w:lang w:val="el-GR"/>
        </w:rPr>
        <w:t xml:space="preserve">Η διαχρονική ανάλυση </w:t>
      </w:r>
      <w:r w:rsidR="004B1F01">
        <w:rPr>
          <w:rFonts w:eastAsia="Times New Roman" w:cs="Times New Roman"/>
          <w:lang w:val="el-GR"/>
        </w:rPr>
        <w:t>των στοιχείων</w:t>
      </w:r>
      <w:r w:rsidRPr="004B1F01">
        <w:rPr>
          <w:rFonts w:eastAsia="Times New Roman" w:cs="Times New Roman"/>
          <w:lang w:val="el-GR"/>
        </w:rPr>
        <w:t xml:space="preserve"> αποκαλύπτει αυτό που η Ε.Σ.Α.μεΑ. υποστηρίζει σε όλους τους τόνους </w:t>
      </w:r>
      <w:r w:rsidR="00757025">
        <w:rPr>
          <w:rFonts w:eastAsia="Times New Roman" w:cs="Times New Roman"/>
          <w:lang w:val="el-GR"/>
        </w:rPr>
        <w:t xml:space="preserve">και </w:t>
      </w:r>
      <w:proofErr w:type="spellStart"/>
      <w:r w:rsidR="00757025">
        <w:rPr>
          <w:rFonts w:eastAsia="Times New Roman" w:cs="Times New Roman"/>
          <w:lang w:val="el-GR"/>
        </w:rPr>
        <w:t>καθ</w:t>
      </w:r>
      <w:r w:rsidR="00564A98">
        <w:rPr>
          <w:rFonts w:eastAsia="Times New Roman" w:cs="Times New Roman"/>
          <w:lang w:val="el-GR"/>
        </w:rPr>
        <w:t>’</w:t>
      </w:r>
      <w:r w:rsidR="00757025">
        <w:rPr>
          <w:rFonts w:eastAsia="Times New Roman" w:cs="Times New Roman"/>
          <w:lang w:val="el-GR"/>
        </w:rPr>
        <w:t>όλη</w:t>
      </w:r>
      <w:proofErr w:type="spellEnd"/>
      <w:r w:rsidR="00DD2D4C" w:rsidRPr="004B1F01">
        <w:rPr>
          <w:rFonts w:eastAsia="Times New Roman" w:cs="Times New Roman"/>
          <w:lang w:val="el-GR"/>
        </w:rPr>
        <w:t xml:space="preserve"> τη </w:t>
      </w:r>
      <w:r w:rsidR="00757025">
        <w:rPr>
          <w:rFonts w:eastAsia="Times New Roman" w:cs="Times New Roman"/>
          <w:lang w:val="el-GR"/>
        </w:rPr>
        <w:t xml:space="preserve">διάρκεια της </w:t>
      </w:r>
      <w:r w:rsidR="00DD2D4C" w:rsidRPr="004B1F01">
        <w:rPr>
          <w:rFonts w:eastAsia="Times New Roman" w:cs="Times New Roman"/>
          <w:lang w:val="el-GR"/>
        </w:rPr>
        <w:t>μνημονιακή</w:t>
      </w:r>
      <w:r w:rsidR="00757025">
        <w:rPr>
          <w:rFonts w:eastAsia="Times New Roman" w:cs="Times New Roman"/>
          <w:lang w:val="el-GR"/>
        </w:rPr>
        <w:t>ς</w:t>
      </w:r>
      <w:r w:rsidRPr="004B1F01">
        <w:rPr>
          <w:rFonts w:eastAsia="Times New Roman" w:cs="Times New Roman"/>
          <w:lang w:val="el-GR"/>
        </w:rPr>
        <w:t xml:space="preserve"> δεκαετία</w:t>
      </w:r>
      <w:r w:rsidR="00757025">
        <w:rPr>
          <w:rFonts w:eastAsia="Times New Roman" w:cs="Times New Roman"/>
          <w:lang w:val="el-GR"/>
        </w:rPr>
        <w:t>ς</w:t>
      </w:r>
      <w:r w:rsidRPr="004B1F01">
        <w:rPr>
          <w:rFonts w:eastAsia="Times New Roman" w:cs="Times New Roman"/>
          <w:lang w:val="el-GR"/>
        </w:rPr>
        <w:t xml:space="preserve">. Οι επιπτώσεις της οικονομικής κρίσης </w:t>
      </w:r>
      <w:r w:rsidR="003910F9" w:rsidRPr="004B1F01">
        <w:rPr>
          <w:rFonts w:eastAsia="Times New Roman" w:cs="Times New Roman"/>
          <w:lang w:val="el-GR"/>
        </w:rPr>
        <w:t>βάρυναν άνισα και</w:t>
      </w:r>
      <w:r w:rsidRPr="004B1F01">
        <w:rPr>
          <w:rFonts w:eastAsia="Times New Roman" w:cs="Times New Roman"/>
          <w:lang w:val="el-GR"/>
        </w:rPr>
        <w:t xml:space="preserve"> </w:t>
      </w:r>
      <w:r w:rsidR="004B1F01">
        <w:rPr>
          <w:rFonts w:eastAsia="Times New Roman" w:cs="Times New Roman"/>
          <w:lang w:val="el-GR"/>
        </w:rPr>
        <w:t>υπέρμετρα</w:t>
      </w:r>
      <w:r w:rsidRPr="004B1F01">
        <w:rPr>
          <w:rFonts w:eastAsia="Times New Roman" w:cs="Times New Roman"/>
          <w:lang w:val="el-GR"/>
        </w:rPr>
        <w:t xml:space="preserve"> τους πλέον ευάλωτους</w:t>
      </w:r>
      <w:r w:rsidR="003910F9" w:rsidRPr="004B1F01">
        <w:rPr>
          <w:rFonts w:eastAsia="Times New Roman" w:cs="Times New Roman"/>
          <w:lang w:val="el-GR"/>
        </w:rPr>
        <w:t>,</w:t>
      </w:r>
      <w:r w:rsidRPr="004B1F01">
        <w:rPr>
          <w:rFonts w:eastAsia="Times New Roman" w:cs="Times New Roman"/>
          <w:lang w:val="el-GR"/>
        </w:rPr>
        <w:t xml:space="preserve"> </w:t>
      </w:r>
      <w:r w:rsidR="004B1F01">
        <w:rPr>
          <w:rFonts w:eastAsia="Times New Roman" w:cs="Times New Roman"/>
          <w:lang w:val="el-GR"/>
        </w:rPr>
        <w:t xml:space="preserve">δηλαδή </w:t>
      </w:r>
      <w:r w:rsidRPr="004B1F01">
        <w:rPr>
          <w:rFonts w:eastAsia="Times New Roman" w:cs="Times New Roman"/>
          <w:lang w:val="el-GR"/>
        </w:rPr>
        <w:t>τα άτομα με αναπηρία και χρόνιες παθήσεις, παρότι</w:t>
      </w:r>
      <w:r w:rsidR="001A0DAE">
        <w:rPr>
          <w:rFonts w:eastAsia="Times New Roman" w:cs="Times New Roman"/>
          <w:lang w:val="el-GR"/>
        </w:rPr>
        <w:t xml:space="preserve"> </w:t>
      </w:r>
      <w:r w:rsidRPr="004B1F01">
        <w:rPr>
          <w:rFonts w:eastAsia="Times New Roman" w:cs="Times New Roman"/>
          <w:lang w:val="el-GR"/>
        </w:rPr>
        <w:t xml:space="preserve">με τη δράση του το </w:t>
      </w:r>
      <w:r w:rsidR="003910F9" w:rsidRPr="004B1F01">
        <w:rPr>
          <w:rFonts w:eastAsia="Times New Roman" w:cs="Times New Roman"/>
          <w:lang w:val="el-GR"/>
        </w:rPr>
        <w:t>αναπηρικό</w:t>
      </w:r>
      <w:r w:rsidRPr="004B1F01">
        <w:rPr>
          <w:rFonts w:eastAsia="Times New Roman" w:cs="Times New Roman"/>
          <w:lang w:val="el-GR"/>
        </w:rPr>
        <w:t xml:space="preserve"> </w:t>
      </w:r>
      <w:r w:rsidR="003910F9" w:rsidRPr="004B1F01">
        <w:rPr>
          <w:rFonts w:eastAsia="Times New Roman" w:cs="Times New Roman"/>
          <w:lang w:val="el-GR"/>
        </w:rPr>
        <w:t>κίνημα</w:t>
      </w:r>
      <w:r w:rsidRPr="004B1F01">
        <w:rPr>
          <w:rFonts w:eastAsia="Times New Roman" w:cs="Times New Roman"/>
          <w:lang w:val="el-GR"/>
        </w:rPr>
        <w:t xml:space="preserve"> κατάφερε να διατηρήσει αλώβητα τα αναπηρικά επιδόματα όλα αυτά τα χρόνια. </w:t>
      </w:r>
    </w:p>
    <w:p w14:paraId="412BE583" w14:textId="77777777" w:rsidR="001A0DAE" w:rsidRDefault="001A0DAE" w:rsidP="004B1F01">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Pr>
          <w:rFonts w:eastAsia="Times New Roman" w:cs="Times New Roman"/>
          <w:lang w:val="el-GR"/>
        </w:rPr>
        <w:t>Η</w:t>
      </w:r>
      <w:r w:rsidR="004B1F01">
        <w:rPr>
          <w:rFonts w:eastAsia="Times New Roman" w:cs="Times New Roman"/>
          <w:lang w:val="el-GR"/>
        </w:rPr>
        <w:t xml:space="preserve"> ανάλυση του κινδύνου φτώχειας που διατρέχουν τα άτομα με αναπηρία αφαιρώντας από το εισόδημα τα αναπηρικά επιδόματα, καταδεικνύει τη δομικά άνιση θέση στην οποία βρ</w:t>
      </w:r>
      <w:r w:rsidR="00F462E4">
        <w:rPr>
          <w:rFonts w:eastAsia="Times New Roman" w:cs="Times New Roman"/>
          <w:lang w:val="el-GR"/>
        </w:rPr>
        <w:t>ίσκονται</w:t>
      </w:r>
      <w:r w:rsidR="00963687">
        <w:rPr>
          <w:rFonts w:eastAsia="Times New Roman" w:cs="Times New Roman"/>
          <w:lang w:val="el-GR"/>
        </w:rPr>
        <w:t>,</w:t>
      </w:r>
      <w:r w:rsidR="00F462E4">
        <w:rPr>
          <w:rFonts w:eastAsia="Times New Roman" w:cs="Times New Roman"/>
          <w:lang w:val="el-GR"/>
        </w:rPr>
        <w:t xml:space="preserve"> ιδίως ως προς την πρόσβαση στην εργασία, </w:t>
      </w:r>
      <w:r w:rsidR="004B1F01">
        <w:rPr>
          <w:rFonts w:eastAsia="Times New Roman" w:cs="Times New Roman"/>
          <w:lang w:val="el-GR"/>
        </w:rPr>
        <w:t xml:space="preserve">και επιβεβαιώνει την αδήριτη αναγκαιότητα των </w:t>
      </w:r>
      <w:r w:rsidR="00F462E4">
        <w:rPr>
          <w:rFonts w:eastAsia="Times New Roman" w:cs="Times New Roman"/>
          <w:lang w:val="el-GR"/>
        </w:rPr>
        <w:t xml:space="preserve">υφιστάμενων </w:t>
      </w:r>
      <w:r w:rsidR="004B1F01">
        <w:rPr>
          <w:rFonts w:eastAsia="Times New Roman" w:cs="Times New Roman"/>
          <w:lang w:val="el-GR"/>
        </w:rPr>
        <w:t xml:space="preserve">κοινωνικών </w:t>
      </w:r>
      <w:r w:rsidR="00F462E4">
        <w:rPr>
          <w:rFonts w:eastAsia="Times New Roman" w:cs="Times New Roman"/>
          <w:lang w:val="el-GR"/>
        </w:rPr>
        <w:t>παροχών</w:t>
      </w:r>
      <w:r w:rsidR="004B1F01">
        <w:rPr>
          <w:rFonts w:eastAsia="Times New Roman" w:cs="Times New Roman"/>
          <w:lang w:val="el-GR"/>
        </w:rPr>
        <w:t xml:space="preserve">, </w:t>
      </w:r>
      <w:r>
        <w:rPr>
          <w:rFonts w:eastAsia="Times New Roman" w:cs="Times New Roman"/>
          <w:lang w:val="el-GR"/>
        </w:rPr>
        <w:t>ως μερικό αντιστάθμισμα των ανισοτήτων.</w:t>
      </w:r>
    </w:p>
    <w:p w14:paraId="4C10AED3" w14:textId="2344865F" w:rsidR="00E02577" w:rsidRPr="004B1F01" w:rsidRDefault="001A0DAE" w:rsidP="004B1F01">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Pr>
          <w:rFonts w:eastAsia="Times New Roman" w:cs="Times New Roman"/>
          <w:lang w:val="el-GR"/>
        </w:rPr>
        <w:t>Ενώ</w:t>
      </w:r>
      <w:r w:rsidR="003910F9" w:rsidRPr="004B1F01">
        <w:rPr>
          <w:rFonts w:eastAsia="Times New Roman" w:cs="Times New Roman"/>
          <w:lang w:val="el-GR"/>
        </w:rPr>
        <w:t xml:space="preserve"> τα έτη 2016-2019 σημειώνεται σταδιακή βελτίωση των οικονομικών και κοινωνικών δεικτών, αυτή η εξέλιξη, </w:t>
      </w:r>
      <w:r w:rsidR="00DD2D4C" w:rsidRPr="004B1F01">
        <w:rPr>
          <w:rFonts w:eastAsia="Times New Roman" w:cs="Times New Roman"/>
          <w:lang w:val="el-GR"/>
        </w:rPr>
        <w:t xml:space="preserve">δυστυχώς </w:t>
      </w:r>
      <w:r w:rsidR="00435882">
        <w:rPr>
          <w:rFonts w:eastAsia="Times New Roman" w:cs="Times New Roman"/>
          <w:lang w:val="el-GR"/>
        </w:rPr>
        <w:t>αφήνει</w:t>
      </w:r>
      <w:r w:rsidR="003910F9" w:rsidRPr="004B1F01">
        <w:rPr>
          <w:rFonts w:eastAsia="Times New Roman" w:cs="Times New Roman"/>
          <w:lang w:val="el-GR"/>
        </w:rPr>
        <w:t xml:space="preserve"> πίσω τα άτομα με αναπηρία</w:t>
      </w:r>
      <w:r w:rsidR="00DD2D4C" w:rsidRPr="004B1F01">
        <w:rPr>
          <w:rFonts w:eastAsia="Times New Roman" w:cs="Times New Roman"/>
          <w:lang w:val="el-GR"/>
        </w:rPr>
        <w:t>. Αντιθέτως,</w:t>
      </w:r>
      <w:r w:rsidR="003910F9" w:rsidRPr="004B1F01">
        <w:rPr>
          <w:rFonts w:eastAsia="Times New Roman" w:cs="Times New Roman"/>
          <w:lang w:val="el-GR"/>
        </w:rPr>
        <w:t xml:space="preserve"> διαπιστώνεται εκ νέου όξυνση των ανισοτ</w:t>
      </w:r>
      <w:r w:rsidR="00DD2D4C" w:rsidRPr="004B1F01">
        <w:rPr>
          <w:rFonts w:eastAsia="Times New Roman" w:cs="Times New Roman"/>
          <w:lang w:val="el-GR"/>
        </w:rPr>
        <w:t xml:space="preserve">ήτων και </w:t>
      </w:r>
      <w:r w:rsidR="003910F9" w:rsidRPr="004B1F01">
        <w:rPr>
          <w:rFonts w:eastAsia="Times New Roman" w:cs="Times New Roman"/>
          <w:lang w:val="el-GR"/>
        </w:rPr>
        <w:t xml:space="preserve">διευρύνεται το χάσμα </w:t>
      </w:r>
      <w:r w:rsidR="00D10ED7" w:rsidRPr="004B1F01">
        <w:rPr>
          <w:rFonts w:eastAsia="Times New Roman" w:cs="Times New Roman"/>
          <w:lang w:val="el-GR"/>
        </w:rPr>
        <w:t>φτώχειας και κοινωνικού αποκλεισμού μεταξύ των ατόμων με αναπηρία και των ατόμων χωρίς αναπηρία.</w:t>
      </w:r>
    </w:p>
    <w:p w14:paraId="370FC57F" w14:textId="77777777" w:rsidR="00435882" w:rsidRDefault="00DD2D4C" w:rsidP="004B1F01">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sidRPr="004B1F01">
        <w:rPr>
          <w:rFonts w:eastAsia="Times New Roman" w:cs="Times New Roman"/>
          <w:lang w:val="el-GR"/>
        </w:rPr>
        <w:t xml:space="preserve">Υπό το πρίσμα του σήμερα, της πανδημίας και της νέας οικονομικής κρίσης που </w:t>
      </w:r>
      <w:r w:rsidR="00435882">
        <w:rPr>
          <w:rFonts w:eastAsia="Times New Roman" w:cs="Times New Roman"/>
          <w:lang w:val="el-GR"/>
        </w:rPr>
        <w:t>πυροδότησε,</w:t>
      </w:r>
      <w:r w:rsidRPr="004B1F01">
        <w:rPr>
          <w:rFonts w:eastAsia="Times New Roman" w:cs="Times New Roman"/>
          <w:lang w:val="el-GR"/>
        </w:rPr>
        <w:t xml:space="preserve"> τα ευρήματα του δελτίου κρούουν τον κώδωνα του κινδύνου</w:t>
      </w:r>
      <w:r w:rsidR="00435882">
        <w:rPr>
          <w:rFonts w:eastAsia="Times New Roman" w:cs="Times New Roman"/>
          <w:lang w:val="el-GR"/>
        </w:rPr>
        <w:t xml:space="preserve"> προς την πολιτεία για την άμεση αναγκαιότητα </w:t>
      </w:r>
      <w:r w:rsidR="00963687">
        <w:rPr>
          <w:rFonts w:eastAsia="Times New Roman" w:cs="Times New Roman"/>
          <w:lang w:val="el-GR"/>
        </w:rPr>
        <w:t xml:space="preserve">ουσιαστικής </w:t>
      </w:r>
      <w:r w:rsidR="00435882">
        <w:rPr>
          <w:rFonts w:eastAsia="Times New Roman" w:cs="Times New Roman"/>
          <w:lang w:val="el-GR"/>
        </w:rPr>
        <w:t>ενίσχυσης της κοινωνικής προστασίας των ατόμων με αναπηρία και των οικογενειών τους</w:t>
      </w:r>
      <w:r w:rsidR="00564A98">
        <w:rPr>
          <w:rFonts w:eastAsia="Times New Roman" w:cs="Times New Roman"/>
          <w:lang w:val="el-GR"/>
        </w:rPr>
        <w:t xml:space="preserve">, που κινδυνεύουν πλέον να </w:t>
      </w:r>
      <w:r w:rsidR="001A0DAE">
        <w:rPr>
          <w:rFonts w:eastAsia="Times New Roman" w:cs="Times New Roman"/>
          <w:lang w:val="el-GR"/>
        </w:rPr>
        <w:t>βιώσουν ακραία φτώχεια</w:t>
      </w:r>
      <w:r w:rsidR="00435882">
        <w:rPr>
          <w:rFonts w:eastAsia="Times New Roman" w:cs="Times New Roman"/>
          <w:lang w:val="el-GR"/>
        </w:rPr>
        <w:t>. Όπως έχει επισημάνει η Ε.Σ.Α.μεΑ. στις προτάσεις που υπέβαλε στη διαβούλευση επί του Εθνικού Σχεδίου Δράσης για τα Δικαιώματα των Ατόμων με Αναπηρία, η αναγκαία προστασία του βιοτικού επιπέδου των ατόμων με αναπηρία επιτάσσει</w:t>
      </w:r>
      <w:r w:rsidR="00963687">
        <w:rPr>
          <w:rFonts w:eastAsia="Times New Roman" w:cs="Times New Roman"/>
          <w:lang w:val="el-GR"/>
        </w:rPr>
        <w:t xml:space="preserve"> μεταξύ άλλων</w:t>
      </w:r>
      <w:r w:rsidR="00435882">
        <w:rPr>
          <w:rFonts w:eastAsia="Times New Roman" w:cs="Times New Roman"/>
          <w:lang w:val="el-GR"/>
        </w:rPr>
        <w:t xml:space="preserve">: </w:t>
      </w:r>
    </w:p>
    <w:p w14:paraId="731861BD" w14:textId="77777777" w:rsidR="006010DD" w:rsidRDefault="006010DD" w:rsidP="004B1F01">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lang w:val="el-GR"/>
        </w:rPr>
      </w:pPr>
      <w:r w:rsidRPr="00F4074C">
        <w:rPr>
          <w:rFonts w:eastAsia="Times New Roman" w:cs="Times New Roman"/>
          <w:b/>
          <w:bCs/>
          <w:lang w:val="el-GR"/>
        </w:rPr>
        <w:t>α)</w:t>
      </w:r>
      <w:r>
        <w:rPr>
          <w:rFonts w:eastAsia="Times New Roman" w:cs="Times New Roman"/>
          <w:lang w:val="el-GR"/>
        </w:rPr>
        <w:t xml:space="preserve"> </w:t>
      </w:r>
      <w:r w:rsidR="004B1F01" w:rsidRPr="004B1F01">
        <w:rPr>
          <w:rFonts w:eastAsia="Times New Roman" w:cs="Times New Roman"/>
          <w:lang w:val="el-GR"/>
        </w:rPr>
        <w:t xml:space="preserve">Την αναγνώριση του γεγονότος ότι η αναπηρία και </w:t>
      </w:r>
      <w:r w:rsidR="001E12EA" w:rsidRPr="00343769">
        <w:rPr>
          <w:rFonts w:eastAsia="Times New Roman" w:cs="Times New Roman"/>
          <w:lang w:val="el-GR"/>
        </w:rPr>
        <w:t>η</w:t>
      </w:r>
      <w:r w:rsidR="001E12EA">
        <w:rPr>
          <w:rFonts w:eastAsia="Times New Roman" w:cs="Times New Roman"/>
          <w:lang w:val="el-GR"/>
        </w:rPr>
        <w:t xml:space="preserve"> </w:t>
      </w:r>
      <w:r w:rsidR="004B1F01" w:rsidRPr="004B1F01">
        <w:rPr>
          <w:rFonts w:eastAsia="Times New Roman" w:cs="Times New Roman"/>
          <w:lang w:val="el-GR"/>
        </w:rPr>
        <w:t>χρόνια πάθηση συνεπάγεται δημιουργ</w:t>
      </w:r>
      <w:r w:rsidR="00963687">
        <w:rPr>
          <w:rFonts w:eastAsia="Times New Roman" w:cs="Times New Roman"/>
          <w:lang w:val="el-GR"/>
        </w:rPr>
        <w:t xml:space="preserve">ία πρόσθετου κόστους διαβίωσης </w:t>
      </w:r>
      <w:r>
        <w:rPr>
          <w:rFonts w:eastAsia="Times New Roman" w:cs="Times New Roman"/>
          <w:lang w:val="el-GR"/>
        </w:rPr>
        <w:t xml:space="preserve">και </w:t>
      </w:r>
      <w:r w:rsidR="004B1F01" w:rsidRPr="004B1F01">
        <w:rPr>
          <w:rFonts w:eastAsia="Times New Roman" w:cs="Times New Roman"/>
          <w:lang w:val="el-GR"/>
        </w:rPr>
        <w:t>τη διαμόρφωση ενός πλαισίου μέτρων που θα διασφαλίζει ένα επαρκές επίπεδο διαβίωσης, όπως το Σύνταγμα της χώρας ορίζει στο άρθρο 25, άρθρο 21, παρ.6 και το άρθρο 28 της Σύμβασης</w:t>
      </w:r>
      <w:r w:rsidR="00564A98">
        <w:rPr>
          <w:rFonts w:eastAsia="Times New Roman" w:cs="Times New Roman"/>
          <w:lang w:val="el-GR"/>
        </w:rPr>
        <w:t xml:space="preserve"> για τα Δικαιώματα των Ατόμων με Αναπηρίες</w:t>
      </w:r>
      <w:r w:rsidR="004B1F01" w:rsidRPr="004B1F01">
        <w:rPr>
          <w:rFonts w:eastAsia="Times New Roman" w:cs="Times New Roman"/>
          <w:lang w:val="el-GR"/>
        </w:rPr>
        <w:t>,</w:t>
      </w:r>
      <w:r w:rsidR="00963687">
        <w:rPr>
          <w:rFonts w:eastAsia="Times New Roman" w:cs="Times New Roman"/>
          <w:lang w:val="el-GR"/>
        </w:rPr>
        <w:t xml:space="preserve"> λαμβάνοντας υπόψη αυτό το</w:t>
      </w:r>
      <w:r>
        <w:rPr>
          <w:rFonts w:eastAsia="Times New Roman" w:cs="Times New Roman"/>
          <w:lang w:val="el-GR"/>
        </w:rPr>
        <w:t xml:space="preserve"> πρόσθετο κόστος διαβίωσης των ατόμων</w:t>
      </w:r>
      <w:r w:rsidR="00963687">
        <w:rPr>
          <w:rFonts w:eastAsia="Times New Roman" w:cs="Times New Roman"/>
          <w:lang w:val="el-GR"/>
        </w:rPr>
        <w:t xml:space="preserve"> με αναπηρία ή/και χρόνιες παθήσεις</w:t>
      </w:r>
      <w:r>
        <w:rPr>
          <w:rFonts w:eastAsia="Times New Roman" w:cs="Times New Roman"/>
          <w:lang w:val="el-GR"/>
        </w:rPr>
        <w:t xml:space="preserve">. </w:t>
      </w:r>
      <w:r w:rsidR="004B1F01" w:rsidRPr="004B1F01">
        <w:rPr>
          <w:rFonts w:eastAsia="Times New Roman" w:cs="Times New Roman"/>
          <w:lang w:val="el-GR"/>
        </w:rPr>
        <w:t xml:space="preserve"> </w:t>
      </w:r>
      <w:r w:rsidR="004B1F01" w:rsidRPr="00F4074C">
        <w:rPr>
          <w:rFonts w:eastAsia="Times New Roman" w:cs="Times New Roman"/>
          <w:b/>
          <w:bCs/>
          <w:lang w:val="el-GR"/>
        </w:rPr>
        <w:t xml:space="preserve">β) </w:t>
      </w:r>
      <w:r w:rsidR="004B1F01" w:rsidRPr="004B1F01">
        <w:rPr>
          <w:rFonts w:eastAsia="Times New Roman" w:cs="Times New Roman"/>
          <w:lang w:val="el-GR"/>
        </w:rPr>
        <w:t xml:space="preserve">Τον σχεδιασμό και την εφαρμογή ενός δίκαιου ασφαλιστικού και </w:t>
      </w:r>
      <w:r w:rsidR="00963687">
        <w:rPr>
          <w:rFonts w:eastAsia="Times New Roman" w:cs="Times New Roman"/>
          <w:lang w:val="el-GR"/>
        </w:rPr>
        <w:t>συνταξιοδοτικού συστήματος μέσω κυρίως</w:t>
      </w:r>
      <w:r w:rsidR="004B1F01" w:rsidRPr="004B1F01">
        <w:rPr>
          <w:rFonts w:eastAsia="Times New Roman" w:cs="Times New Roman"/>
          <w:lang w:val="el-GR"/>
        </w:rPr>
        <w:t xml:space="preserve"> της αναμόρφωσης του ν.4387/2016 με τον οποίο έχουν καταργηθεί σημαντικά δικαιώματα και παροχές, </w:t>
      </w:r>
      <w:r w:rsidR="00963687">
        <w:rPr>
          <w:rFonts w:eastAsia="Times New Roman" w:cs="Times New Roman"/>
          <w:lang w:val="el-GR"/>
        </w:rPr>
        <w:t xml:space="preserve">και </w:t>
      </w:r>
      <w:r w:rsidR="00963687" w:rsidRPr="00F4074C">
        <w:rPr>
          <w:rFonts w:eastAsia="Times New Roman" w:cs="Times New Roman"/>
          <w:b/>
          <w:bCs/>
          <w:lang w:val="el-GR"/>
        </w:rPr>
        <w:t>γ)</w:t>
      </w:r>
      <w:r w:rsidR="00963687">
        <w:rPr>
          <w:rFonts w:eastAsia="Times New Roman" w:cs="Times New Roman"/>
          <w:lang w:val="el-GR"/>
        </w:rPr>
        <w:t xml:space="preserve"> </w:t>
      </w:r>
      <w:r w:rsidR="004B1F01" w:rsidRPr="004B1F01">
        <w:rPr>
          <w:rFonts w:eastAsia="Times New Roman" w:cs="Times New Roman"/>
          <w:lang w:val="el-GR"/>
        </w:rPr>
        <w:t xml:space="preserve">τον σχεδιασμό και την εφαρμογή ενός φορολογικού συστήματος -σύμφωνο προς τη σύσταση (παρ. 41) των Τελικών Παρατηρήσεων της Επιτροπής των Ηνωμένων Εθνών για τα Δικαιώματα των </w:t>
      </w:r>
      <w:r w:rsidR="004B1F01" w:rsidRPr="004B1F01">
        <w:rPr>
          <w:rFonts w:eastAsia="Times New Roman" w:cs="Times New Roman"/>
          <w:lang w:val="el-GR"/>
        </w:rPr>
        <w:lastRenderedPageBreak/>
        <w:t xml:space="preserve">Ατόμων με Αναπηρίες- </w:t>
      </w:r>
      <w:r w:rsidR="00564A98">
        <w:rPr>
          <w:rFonts w:eastAsia="Times New Roman" w:cs="Times New Roman"/>
          <w:lang w:val="el-GR"/>
        </w:rPr>
        <w:t xml:space="preserve">που θα συμβάλει στην προστασία και την </w:t>
      </w:r>
      <w:r w:rsidR="004B1F01" w:rsidRPr="004B1F01">
        <w:rPr>
          <w:rFonts w:eastAsia="Times New Roman" w:cs="Times New Roman"/>
          <w:lang w:val="el-GR"/>
        </w:rPr>
        <w:t xml:space="preserve">εισοδηματική ενίσχυση </w:t>
      </w:r>
      <w:r w:rsidR="00564A98">
        <w:rPr>
          <w:rFonts w:eastAsia="Times New Roman" w:cs="Times New Roman"/>
          <w:lang w:val="el-GR"/>
        </w:rPr>
        <w:t xml:space="preserve">των ατόμων </w:t>
      </w:r>
      <w:r w:rsidR="004B1F01" w:rsidRPr="004B1F01">
        <w:rPr>
          <w:rFonts w:eastAsia="Times New Roman" w:cs="Times New Roman"/>
          <w:lang w:val="el-GR"/>
        </w:rPr>
        <w:t>με αν</w:t>
      </w:r>
      <w:r w:rsidR="00564A98">
        <w:rPr>
          <w:rFonts w:eastAsia="Times New Roman" w:cs="Times New Roman"/>
          <w:lang w:val="el-GR"/>
        </w:rPr>
        <w:t>απηρία, χρόνιες παθήσεις και των οικογενειών</w:t>
      </w:r>
      <w:r w:rsidR="004B1F01" w:rsidRPr="004B1F01">
        <w:rPr>
          <w:rFonts w:eastAsia="Times New Roman" w:cs="Times New Roman"/>
          <w:lang w:val="el-GR"/>
        </w:rPr>
        <w:t xml:space="preserve"> τους, </w:t>
      </w:r>
      <w:r w:rsidR="00CE4AA8" w:rsidRPr="00CE4AA8">
        <w:rPr>
          <w:lang w:val="el-GR"/>
        </w:rPr>
        <w:t xml:space="preserve">μέσω της εφαρμογής συγκεκριμένων μέτρων, όπως είναι η διατήρηση των </w:t>
      </w:r>
      <w:r w:rsidR="00564A98">
        <w:rPr>
          <w:lang w:val="el-GR"/>
        </w:rPr>
        <w:t xml:space="preserve">εν ισχύ </w:t>
      </w:r>
      <w:r w:rsidR="00CE4AA8" w:rsidRPr="00CE4AA8">
        <w:rPr>
          <w:lang w:val="el-GR"/>
        </w:rPr>
        <w:t>φοροαπαλλαγών, η απαλλαγή όλων των ατόμων με αναπηρία από την ειδική εισφορά αλληλεγγύης, τον ΕΝΦΙΑ για την πρώτη κατοικία ανεξαρτήτως εισοδήματος και τα τεκμήρια του εισοδήματος.</w:t>
      </w:r>
    </w:p>
    <w:p w14:paraId="096A903E" w14:textId="77777777" w:rsidR="00E17F27" w:rsidRPr="00564A98" w:rsidRDefault="00564A98" w:rsidP="006010DD">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hd w:val="clear" w:color="auto" w:fill="EBF1DE"/>
        <w:jc w:val="both"/>
        <w:rPr>
          <w:rFonts w:eastAsia="Times New Roman" w:cs="Times New Roman"/>
          <w:lang w:val="el-GR"/>
        </w:rPr>
      </w:pPr>
      <w:r>
        <w:rPr>
          <w:lang w:val="el-GR"/>
        </w:rPr>
        <w:t>Τέλος</w:t>
      </w:r>
      <w:r w:rsidR="00700911">
        <w:rPr>
          <w:lang w:val="el-GR"/>
        </w:rPr>
        <w:t>,</w:t>
      </w:r>
      <w:r>
        <w:rPr>
          <w:lang w:val="el-GR"/>
        </w:rPr>
        <w:t xml:space="preserve"> είναι παραπάνω από αυτον</w:t>
      </w:r>
      <w:r w:rsidR="00700911">
        <w:rPr>
          <w:lang w:val="el-GR"/>
        </w:rPr>
        <w:t>όητη</w:t>
      </w:r>
      <w:r>
        <w:rPr>
          <w:lang w:val="el-GR"/>
        </w:rPr>
        <w:t xml:space="preserve"> η υποχρέωση να διασφαλιστούν και να διατηρηθούν </w:t>
      </w:r>
      <w:r w:rsidR="001A0DAE">
        <w:rPr>
          <w:lang w:val="el-GR"/>
        </w:rPr>
        <w:t xml:space="preserve">στο ακέραιο </w:t>
      </w:r>
      <w:r>
        <w:rPr>
          <w:rFonts w:eastAsia="Times New Roman" w:cs="Times New Roman"/>
          <w:lang w:val="el-GR"/>
        </w:rPr>
        <w:t>τα υφιστάμενα</w:t>
      </w:r>
      <w:r w:rsidR="006010DD">
        <w:rPr>
          <w:rFonts w:eastAsia="Times New Roman" w:cs="Times New Roman"/>
          <w:lang w:val="el-GR"/>
        </w:rPr>
        <w:t xml:space="preserve"> </w:t>
      </w:r>
      <w:r>
        <w:rPr>
          <w:rFonts w:eastAsia="Times New Roman" w:cs="Times New Roman"/>
          <w:lang w:val="el-GR"/>
        </w:rPr>
        <w:t>αναπηρικά επιδόματα</w:t>
      </w:r>
      <w:r w:rsidR="001A0DAE">
        <w:rPr>
          <w:rFonts w:eastAsia="Times New Roman" w:cs="Times New Roman"/>
          <w:lang w:val="el-GR"/>
        </w:rPr>
        <w:t>,</w:t>
      </w:r>
      <w:r w:rsidR="004B1F01" w:rsidRPr="004B1F01">
        <w:rPr>
          <w:rFonts w:eastAsia="Times New Roman" w:cs="Times New Roman"/>
          <w:lang w:val="el-GR"/>
        </w:rPr>
        <w:t xml:space="preserve"> καθώς η οποιαδήποτε ελάχιστη μείωση ή περικοπή </w:t>
      </w:r>
      <w:r w:rsidR="00700911">
        <w:rPr>
          <w:rFonts w:eastAsia="Times New Roman" w:cs="Times New Roman"/>
          <w:lang w:val="el-GR"/>
        </w:rPr>
        <w:t>ή αλλαγή στο σύστημα αξιολόγησης</w:t>
      </w:r>
      <w:r w:rsidR="001A0DAE">
        <w:rPr>
          <w:rFonts w:eastAsia="Times New Roman" w:cs="Times New Roman"/>
          <w:lang w:val="el-GR"/>
        </w:rPr>
        <w:t xml:space="preserve"> και πιστοποίησης της αναπηρίας, θα οδηγούσε στην </w:t>
      </w:r>
      <w:r w:rsidR="00F55A5A">
        <w:rPr>
          <w:rFonts w:eastAsia="Times New Roman" w:cs="Times New Roman"/>
          <w:lang w:val="el-GR"/>
        </w:rPr>
        <w:t xml:space="preserve">πλήρη </w:t>
      </w:r>
      <w:r w:rsidR="001A0DAE">
        <w:rPr>
          <w:rFonts w:eastAsia="Times New Roman" w:cs="Times New Roman"/>
          <w:lang w:val="el-GR"/>
        </w:rPr>
        <w:t>εξαθλίωση</w:t>
      </w:r>
      <w:r w:rsidR="004B1F01" w:rsidRPr="004B1F01">
        <w:rPr>
          <w:rFonts w:eastAsia="Times New Roman" w:cs="Times New Roman"/>
          <w:lang w:val="el-GR"/>
        </w:rPr>
        <w:t xml:space="preserve"> </w:t>
      </w:r>
      <w:r w:rsidR="00700911">
        <w:rPr>
          <w:rFonts w:eastAsia="Times New Roman" w:cs="Times New Roman"/>
          <w:lang w:val="el-GR"/>
        </w:rPr>
        <w:t xml:space="preserve">πολλά άτομα με αναπηρία ή/και χρόνιες παθήσεις. </w:t>
      </w:r>
    </w:p>
    <w:p w14:paraId="582C424F" w14:textId="77777777" w:rsidR="00E17F27" w:rsidRDefault="00E17F27" w:rsidP="00E17F27">
      <w:pPr>
        <w:rPr>
          <w:lang w:val="el-GR"/>
        </w:rPr>
      </w:pPr>
    </w:p>
    <w:p w14:paraId="454B43EE" w14:textId="77777777" w:rsidR="00E17F27" w:rsidRDefault="00E17F27" w:rsidP="00E17F27">
      <w:pPr>
        <w:rPr>
          <w:lang w:val="el-GR"/>
        </w:rPr>
      </w:pPr>
    </w:p>
    <w:p w14:paraId="7379E1F7" w14:textId="77777777" w:rsidR="005C287C" w:rsidRDefault="005C287C" w:rsidP="00F4074C">
      <w:pPr>
        <w:pStyle w:val="10"/>
        <w:spacing w:before="1080" w:after="120"/>
        <w:ind w:left="431" w:hanging="431"/>
        <w:jc w:val="center"/>
        <w:rPr>
          <w:rFonts w:asciiTheme="minorHAnsi" w:hAnsiTheme="minorHAnsi" w:cstheme="minorHAnsi"/>
          <w:b/>
          <w:color w:val="auto"/>
          <w:u w:val="single"/>
          <w:lang w:val="el-GR"/>
        </w:rPr>
      </w:pPr>
      <w:bookmarkStart w:id="0" w:name="_Toc59179436"/>
      <w:r w:rsidRPr="00CB77DA">
        <w:rPr>
          <w:rFonts w:asciiTheme="minorHAnsi" w:hAnsiTheme="minorHAnsi" w:cstheme="minorHAnsi"/>
          <w:b/>
          <w:color w:val="auto"/>
          <w:u w:val="single"/>
          <w:lang w:val="el-GR"/>
        </w:rPr>
        <w:t>ΑΝΑΛΥΣΗ ΕΥΡΥΜΑΤΩΝ</w:t>
      </w:r>
      <w:bookmarkEnd w:id="0"/>
    </w:p>
    <w:p w14:paraId="25DEBF23" w14:textId="77777777" w:rsidR="00903F32" w:rsidRPr="005F5798" w:rsidRDefault="005F5798" w:rsidP="005F5798">
      <w:pPr>
        <w:pStyle w:val="10"/>
        <w:numPr>
          <w:ilvl w:val="0"/>
          <w:numId w:val="11"/>
        </w:numPr>
        <w:ind w:left="426"/>
        <w:rPr>
          <w:b/>
          <w:color w:val="auto"/>
          <w:lang w:val="el-GR"/>
        </w:rPr>
      </w:pPr>
      <w:bookmarkStart w:id="1" w:name="_Toc59179437"/>
      <w:r w:rsidRPr="005F5798">
        <w:rPr>
          <w:b/>
          <w:color w:val="auto"/>
          <w:lang w:val="el-GR"/>
        </w:rPr>
        <w:t>Ο Σύνθετος Δείκτης: «Ποσοστό πληθυσμού σε κίνδυνο φ</w:t>
      </w:r>
      <w:r>
        <w:rPr>
          <w:b/>
          <w:color w:val="auto"/>
          <w:lang w:val="el-GR"/>
        </w:rPr>
        <w:t xml:space="preserve">τώχειας ή </w:t>
      </w:r>
      <w:r w:rsidR="00C355C0">
        <w:rPr>
          <w:b/>
          <w:color w:val="auto"/>
          <w:lang w:val="el-GR"/>
        </w:rPr>
        <w:t xml:space="preserve">σε </w:t>
      </w:r>
      <w:r>
        <w:rPr>
          <w:b/>
          <w:color w:val="auto"/>
          <w:lang w:val="el-GR"/>
        </w:rPr>
        <w:t>κοινωνικό αποκλεισμό»</w:t>
      </w:r>
      <w:bookmarkEnd w:id="1"/>
    </w:p>
    <w:p w14:paraId="6D5765AC" w14:textId="77777777" w:rsidR="003A006D" w:rsidRDefault="003A006D" w:rsidP="00903F32">
      <w:pPr>
        <w:pStyle w:val="Default"/>
        <w:keepNext/>
        <w:ind w:left="284" w:right="142"/>
        <w:jc w:val="both"/>
      </w:pPr>
    </w:p>
    <w:p w14:paraId="5CD7D8EF" w14:textId="77777777" w:rsidR="00F4074C" w:rsidRDefault="00C355C0" w:rsidP="005F5798">
      <w:pPr>
        <w:jc w:val="both"/>
        <w:rPr>
          <w:rFonts w:ascii="Times New Roman" w:hAnsi="Times New Roman"/>
          <w:sz w:val="24"/>
          <w:szCs w:val="24"/>
          <w:lang w:val="el-GR"/>
        </w:rPr>
      </w:pPr>
      <w:r>
        <w:rPr>
          <w:rFonts w:ascii="Times New Roman" w:hAnsi="Times New Roman"/>
          <w:sz w:val="24"/>
          <w:szCs w:val="24"/>
          <w:lang w:val="el-GR"/>
        </w:rPr>
        <w:t>Ο σύνθετος δείκτης «Ποσοστό</w:t>
      </w:r>
      <w:r w:rsidR="005F5798" w:rsidRPr="005F5798">
        <w:rPr>
          <w:rFonts w:ascii="Times New Roman" w:hAnsi="Times New Roman"/>
          <w:sz w:val="24"/>
          <w:szCs w:val="24"/>
          <w:lang w:val="el-GR"/>
        </w:rPr>
        <w:t xml:space="preserve"> σε κίνδυνο φτώχειας ή</w:t>
      </w:r>
      <w:r>
        <w:rPr>
          <w:rFonts w:ascii="Times New Roman" w:hAnsi="Times New Roman"/>
          <w:sz w:val="24"/>
          <w:szCs w:val="24"/>
          <w:lang w:val="el-GR"/>
        </w:rPr>
        <w:t xml:space="preserve"> σε </w:t>
      </w:r>
      <w:r w:rsidR="005F5798" w:rsidRPr="005F5798">
        <w:rPr>
          <w:rFonts w:ascii="Times New Roman" w:hAnsi="Times New Roman"/>
          <w:sz w:val="24"/>
          <w:szCs w:val="24"/>
          <w:lang w:val="el-GR"/>
        </w:rPr>
        <w:t>κοινωνικό αποκλεισμό» συνυπολογίζει 3 διαφορετικές συνιστώσες (</w:t>
      </w:r>
      <w:proofErr w:type="spellStart"/>
      <w:r w:rsidR="005F5798" w:rsidRPr="005F5798">
        <w:rPr>
          <w:rFonts w:ascii="Times New Roman" w:hAnsi="Times New Roman"/>
          <w:sz w:val="24"/>
          <w:szCs w:val="24"/>
          <w:lang w:val="el-GR"/>
        </w:rPr>
        <w:t>υποδείκτες</w:t>
      </w:r>
      <w:proofErr w:type="spellEnd"/>
      <w:r w:rsidR="005F5798" w:rsidRPr="005F5798">
        <w:rPr>
          <w:rFonts w:ascii="Times New Roman" w:hAnsi="Times New Roman"/>
          <w:sz w:val="24"/>
          <w:szCs w:val="24"/>
          <w:lang w:val="el-GR"/>
        </w:rPr>
        <w:t xml:space="preserve">) της φτώχειας και του αποκλεισμού: </w:t>
      </w:r>
    </w:p>
    <w:p w14:paraId="1D17A466" w14:textId="2F0A957A" w:rsidR="00F4074C" w:rsidRPr="00F4074C" w:rsidRDefault="00C355C0" w:rsidP="00F4074C">
      <w:pPr>
        <w:pStyle w:val="a9"/>
        <w:numPr>
          <w:ilvl w:val="0"/>
          <w:numId w:val="14"/>
        </w:numPr>
        <w:rPr>
          <w:rFonts w:ascii="Times New Roman" w:hAnsi="Times New Roman"/>
          <w:sz w:val="24"/>
          <w:szCs w:val="24"/>
          <w:lang w:val="el-GR"/>
        </w:rPr>
      </w:pPr>
      <w:r w:rsidRPr="00F4074C">
        <w:rPr>
          <w:rFonts w:ascii="Times New Roman" w:hAnsi="Times New Roman"/>
          <w:sz w:val="24"/>
          <w:szCs w:val="24"/>
          <w:lang w:val="el-GR"/>
        </w:rPr>
        <w:t>τον πληθυσμό</w:t>
      </w:r>
      <w:r w:rsidR="005F5798" w:rsidRPr="00F4074C">
        <w:rPr>
          <w:rFonts w:ascii="Times New Roman" w:hAnsi="Times New Roman"/>
          <w:sz w:val="24"/>
          <w:szCs w:val="24"/>
          <w:lang w:val="el-GR"/>
        </w:rPr>
        <w:t xml:space="preserve"> σε κίνδυνο φτώχειας, </w:t>
      </w:r>
    </w:p>
    <w:p w14:paraId="1FD33B49" w14:textId="77777777" w:rsidR="00F4074C" w:rsidRPr="00F4074C" w:rsidRDefault="005F5798" w:rsidP="00F4074C">
      <w:pPr>
        <w:pStyle w:val="a9"/>
        <w:numPr>
          <w:ilvl w:val="0"/>
          <w:numId w:val="14"/>
        </w:numPr>
        <w:rPr>
          <w:rFonts w:ascii="Times New Roman" w:hAnsi="Times New Roman"/>
          <w:sz w:val="24"/>
          <w:szCs w:val="24"/>
          <w:lang w:val="el-GR"/>
        </w:rPr>
      </w:pPr>
      <w:r w:rsidRPr="00F4074C">
        <w:rPr>
          <w:rFonts w:ascii="Times New Roman" w:hAnsi="Times New Roman"/>
          <w:sz w:val="24"/>
          <w:szCs w:val="24"/>
          <w:lang w:val="el-GR"/>
        </w:rPr>
        <w:t xml:space="preserve">τον πληθυσμό με υλικές στερήσεις (δηλαδή πληθυσμός που στερείται τουλάχιστον 4 από έναν κατάλογο 9 </w:t>
      </w:r>
      <w:r w:rsidR="00C355C0" w:rsidRPr="00F4074C">
        <w:rPr>
          <w:rFonts w:ascii="Times New Roman" w:hAnsi="Times New Roman"/>
          <w:sz w:val="24"/>
          <w:szCs w:val="24"/>
          <w:lang w:val="el-GR"/>
        </w:rPr>
        <w:t xml:space="preserve">βασικών </w:t>
      </w:r>
      <w:r w:rsidRPr="00F4074C">
        <w:rPr>
          <w:rFonts w:ascii="Times New Roman" w:hAnsi="Times New Roman"/>
          <w:sz w:val="24"/>
          <w:szCs w:val="24"/>
          <w:lang w:val="el-GR"/>
        </w:rPr>
        <w:t xml:space="preserve">αγαθών και υπηρεσιών), και </w:t>
      </w:r>
    </w:p>
    <w:p w14:paraId="4CE46E05" w14:textId="087C3393" w:rsidR="005F5798" w:rsidRPr="00F4074C" w:rsidRDefault="005F5798" w:rsidP="00F4074C">
      <w:pPr>
        <w:pStyle w:val="a9"/>
        <w:numPr>
          <w:ilvl w:val="0"/>
          <w:numId w:val="14"/>
        </w:numPr>
        <w:rPr>
          <w:rFonts w:ascii="Times New Roman" w:hAnsi="Times New Roman"/>
          <w:sz w:val="24"/>
          <w:szCs w:val="24"/>
          <w:lang w:val="el-GR"/>
        </w:rPr>
      </w:pPr>
      <w:r w:rsidRPr="00F4074C">
        <w:rPr>
          <w:rFonts w:ascii="Times New Roman" w:hAnsi="Times New Roman"/>
          <w:sz w:val="24"/>
          <w:szCs w:val="24"/>
          <w:lang w:val="el-GR"/>
        </w:rPr>
        <w:t xml:space="preserve">τον πληθυσμό που διαβιεί σε νοικοκυριά με χαμηλή ένταση εργασίας. </w:t>
      </w:r>
    </w:p>
    <w:p w14:paraId="725D9D71" w14:textId="77777777" w:rsidR="00C355C0" w:rsidRDefault="00C355C0" w:rsidP="005F5798">
      <w:pPr>
        <w:jc w:val="both"/>
        <w:rPr>
          <w:rFonts w:ascii="Times New Roman" w:hAnsi="Times New Roman"/>
          <w:sz w:val="24"/>
          <w:szCs w:val="24"/>
          <w:lang w:val="el-GR"/>
        </w:rPr>
      </w:pPr>
    </w:p>
    <w:p w14:paraId="0C6DD9E9" w14:textId="77777777" w:rsidR="005F5798" w:rsidRPr="008648CC" w:rsidRDefault="005F5798" w:rsidP="005F5798">
      <w:pPr>
        <w:jc w:val="both"/>
        <w:rPr>
          <w:rFonts w:ascii="Times New Roman" w:hAnsi="Times New Roman"/>
          <w:sz w:val="24"/>
          <w:szCs w:val="24"/>
          <w:lang w:val="el-GR"/>
        </w:rPr>
      </w:pPr>
      <w:r w:rsidRPr="005F5798">
        <w:rPr>
          <w:rFonts w:ascii="Times New Roman" w:hAnsi="Times New Roman"/>
          <w:sz w:val="24"/>
          <w:szCs w:val="24"/>
          <w:lang w:val="el-GR"/>
        </w:rPr>
        <w:t xml:space="preserve">Το 2019 σε κίνδυνο φτώχειας ή κοινωνικό αποκλεισμό βρίσκεται το 37% των ατόμων ηλικίας 16 ετών και άνω με σοβαρή αναπηρία, και το 29% </w:t>
      </w:r>
      <w:r w:rsidR="002A4671">
        <w:rPr>
          <w:rFonts w:ascii="Times New Roman" w:hAnsi="Times New Roman"/>
          <w:sz w:val="24"/>
          <w:szCs w:val="24"/>
          <w:lang w:val="el-GR"/>
        </w:rPr>
        <w:t xml:space="preserve">των ατόμων χωρίς </w:t>
      </w:r>
      <w:r w:rsidRPr="005F5798">
        <w:rPr>
          <w:rFonts w:ascii="Times New Roman" w:hAnsi="Times New Roman"/>
          <w:sz w:val="24"/>
          <w:szCs w:val="24"/>
          <w:lang w:val="el-GR"/>
        </w:rPr>
        <w:t>αναπηρία</w:t>
      </w:r>
      <w:r w:rsidR="002A4671">
        <w:rPr>
          <w:rFonts w:ascii="Times New Roman" w:hAnsi="Times New Roman"/>
          <w:sz w:val="24"/>
          <w:szCs w:val="24"/>
          <w:lang w:val="el-GR"/>
        </w:rPr>
        <w:t>,</w:t>
      </w:r>
      <w:r w:rsidR="002A4671" w:rsidRPr="002A4671">
        <w:rPr>
          <w:rFonts w:ascii="Times New Roman" w:hAnsi="Times New Roman"/>
          <w:sz w:val="24"/>
          <w:szCs w:val="24"/>
          <w:lang w:val="el-GR"/>
        </w:rPr>
        <w:t xml:space="preserve"> </w:t>
      </w:r>
      <w:r w:rsidR="002A4671">
        <w:rPr>
          <w:rFonts w:ascii="Times New Roman" w:hAnsi="Times New Roman"/>
          <w:sz w:val="24"/>
          <w:szCs w:val="24"/>
          <w:lang w:val="el-GR"/>
        </w:rPr>
        <w:t>ίδιας ηλικίας</w:t>
      </w:r>
      <w:r w:rsidRPr="005F5798">
        <w:rPr>
          <w:rFonts w:ascii="Times New Roman" w:hAnsi="Times New Roman"/>
          <w:sz w:val="24"/>
          <w:szCs w:val="24"/>
          <w:lang w:val="el-GR"/>
        </w:rPr>
        <w:t xml:space="preserve">. </w:t>
      </w:r>
    </w:p>
    <w:p w14:paraId="6D4D7BCF" w14:textId="40D13854" w:rsidR="005F5798" w:rsidRDefault="005F5798" w:rsidP="005F5798">
      <w:pPr>
        <w:pStyle w:val="10"/>
        <w:ind w:left="567" w:right="651"/>
        <w:rPr>
          <w:b/>
          <w:sz w:val="24"/>
          <w:szCs w:val="24"/>
          <w:lang w:val="el-GR"/>
        </w:rPr>
      </w:pPr>
      <w:bookmarkStart w:id="2" w:name="_Toc59179438"/>
      <w:r w:rsidRPr="005F5798">
        <w:rPr>
          <w:b/>
          <w:sz w:val="24"/>
          <w:szCs w:val="24"/>
          <w:lang w:val="el-GR"/>
        </w:rPr>
        <w:lastRenderedPageBreak/>
        <w:t xml:space="preserve">Γράφημα </w:t>
      </w:r>
      <w:r w:rsidR="0084626E">
        <w:rPr>
          <w:b/>
          <w:sz w:val="24"/>
          <w:szCs w:val="24"/>
          <w:lang w:val="el-GR"/>
        </w:rPr>
        <w:fldChar w:fldCharType="begin"/>
      </w:r>
      <w:r w:rsidR="006634A5">
        <w:rPr>
          <w:b/>
          <w:sz w:val="24"/>
          <w:szCs w:val="24"/>
          <w:lang w:val="el-GR"/>
        </w:rPr>
        <w:instrText xml:space="preserve"> SEQ Γράφημα \* ARABIC </w:instrText>
      </w:r>
      <w:r w:rsidR="0084626E">
        <w:rPr>
          <w:b/>
          <w:sz w:val="24"/>
          <w:szCs w:val="24"/>
          <w:lang w:val="el-GR"/>
        </w:rPr>
        <w:fldChar w:fldCharType="separate"/>
      </w:r>
      <w:r w:rsidR="00DA4DF6">
        <w:rPr>
          <w:b/>
          <w:noProof/>
          <w:sz w:val="24"/>
          <w:szCs w:val="24"/>
          <w:lang w:val="el-GR"/>
        </w:rPr>
        <w:t>1</w:t>
      </w:r>
      <w:r w:rsidR="0084626E">
        <w:rPr>
          <w:b/>
          <w:sz w:val="24"/>
          <w:szCs w:val="24"/>
          <w:lang w:val="el-GR"/>
        </w:rPr>
        <w:fldChar w:fldCharType="end"/>
      </w:r>
      <w:r w:rsidRPr="005F5798">
        <w:rPr>
          <w:b/>
          <w:sz w:val="24"/>
          <w:szCs w:val="24"/>
          <w:lang w:val="el-GR"/>
        </w:rPr>
        <w:t xml:space="preserve">: Ποσοστό πληθυσμού (16+ ετών) σε κίνδυνο φτώχειας ή </w:t>
      </w:r>
      <w:r w:rsidR="007241E6">
        <w:rPr>
          <w:b/>
          <w:sz w:val="24"/>
          <w:szCs w:val="24"/>
          <w:lang w:val="el-GR"/>
        </w:rPr>
        <w:t xml:space="preserve">σε </w:t>
      </w:r>
      <w:r w:rsidRPr="005F5798">
        <w:rPr>
          <w:b/>
          <w:sz w:val="24"/>
          <w:szCs w:val="24"/>
          <w:lang w:val="el-GR"/>
        </w:rPr>
        <w:t>κοινωνικό αποκλεισμό και κατάσταση αναπηρίας το 2019</w:t>
      </w:r>
      <w:bookmarkEnd w:id="2"/>
    </w:p>
    <w:p w14:paraId="5093AEEE" w14:textId="77777777" w:rsidR="002A4671" w:rsidRPr="002A4671" w:rsidRDefault="002A4671" w:rsidP="002A4671">
      <w:pPr>
        <w:ind w:left="709"/>
        <w:rPr>
          <w:lang w:val="el-GR"/>
        </w:rPr>
      </w:pPr>
      <w:r w:rsidRPr="002A4671">
        <w:rPr>
          <w:noProof/>
          <w:lang w:val="el-GR" w:eastAsia="el-GR"/>
        </w:rPr>
        <w:drawing>
          <wp:inline distT="0" distB="0" distL="0" distR="0" wp14:anchorId="28EEBCB3" wp14:editId="11660A5D">
            <wp:extent cx="4572000" cy="2857500"/>
            <wp:effectExtent l="0" t="0" r="0" b="0"/>
            <wp:docPr id="18" name="Γράφημα 18" descr="Σοβαρή αναπηρία 36,7%&#10;Μέτρια αναπηρία 30,7%&#10;Χωρίς αναπηρία 29,0%">
              <a:extLst xmlns:a="http://schemas.openxmlformats.org/drawingml/2006/main">
                <a:ext uri="{FF2B5EF4-FFF2-40B4-BE49-F238E27FC236}">
                  <a16:creationId xmlns:a16="http://schemas.microsoft.com/office/drawing/2014/main" id="{790E8474-EEF0-41AA-9A76-76E1AC189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AACEAE" w14:textId="77777777" w:rsidR="005F5798" w:rsidRPr="006B62F0" w:rsidRDefault="006B62F0" w:rsidP="00D34ABE">
      <w:pPr>
        <w:pStyle w:val="aa"/>
        <w:ind w:left="851"/>
        <w:rPr>
          <w:rFonts w:ascii="Constantia" w:eastAsia="Georgia" w:hAnsi="Constantia" w:cstheme="majorHAnsi"/>
          <w:bCs/>
          <w:sz w:val="24"/>
          <w:szCs w:val="24"/>
        </w:rPr>
      </w:pPr>
      <w:r w:rsidRPr="006B62F0">
        <w:rPr>
          <w:lang w:val="el-GR"/>
        </w:rPr>
        <w:t>Πηγή</w:t>
      </w:r>
      <w:r w:rsidRPr="006B62F0">
        <w:t xml:space="preserve"> </w:t>
      </w:r>
      <w:r w:rsidRPr="006B62F0">
        <w:rPr>
          <w:lang w:val="el-GR"/>
        </w:rPr>
        <w:t>δεδομένων</w:t>
      </w:r>
      <w:r w:rsidRPr="006B62F0">
        <w:t xml:space="preserve">: </w:t>
      </w:r>
      <w:r>
        <w:t>Eurostat</w:t>
      </w:r>
      <w:r w:rsidR="00026DEE">
        <w:t xml:space="preserve"> database</w:t>
      </w:r>
      <w:r>
        <w:t>, EU-SILC (</w:t>
      </w:r>
      <w:r w:rsidRPr="006B62F0">
        <w:t>Statistics on Income and Living Conditions</w:t>
      </w:r>
      <w:r>
        <w:t>)</w:t>
      </w:r>
    </w:p>
    <w:p w14:paraId="4FC7CA78" w14:textId="77777777" w:rsidR="005F5798" w:rsidRPr="006B62F0" w:rsidRDefault="005F5798" w:rsidP="005F5798">
      <w:pPr>
        <w:jc w:val="both"/>
        <w:rPr>
          <w:rFonts w:ascii="Times New Roman" w:hAnsi="Times New Roman"/>
          <w:sz w:val="24"/>
          <w:szCs w:val="24"/>
        </w:rPr>
      </w:pPr>
    </w:p>
    <w:p w14:paraId="3EAF2E97" w14:textId="77777777" w:rsidR="005F5798" w:rsidRPr="005F5798" w:rsidRDefault="007241E6" w:rsidP="005F5798">
      <w:pPr>
        <w:jc w:val="both"/>
        <w:rPr>
          <w:rFonts w:ascii="Times New Roman" w:hAnsi="Times New Roman"/>
          <w:sz w:val="24"/>
          <w:szCs w:val="24"/>
          <w:lang w:val="el-GR"/>
        </w:rPr>
      </w:pPr>
      <w:r>
        <w:rPr>
          <w:rFonts w:ascii="Times New Roman" w:hAnsi="Times New Roman"/>
          <w:sz w:val="24"/>
          <w:szCs w:val="24"/>
          <w:lang w:val="el-GR"/>
        </w:rPr>
        <w:t xml:space="preserve">Η πραγματική διάσταση του προβλήματος </w:t>
      </w:r>
      <w:r w:rsidR="005F5798" w:rsidRPr="005F5798">
        <w:rPr>
          <w:rFonts w:ascii="Times New Roman" w:hAnsi="Times New Roman"/>
          <w:sz w:val="24"/>
          <w:szCs w:val="24"/>
          <w:lang w:val="el-GR"/>
        </w:rPr>
        <w:t xml:space="preserve">της φτώχειας και </w:t>
      </w:r>
      <w:r>
        <w:rPr>
          <w:rFonts w:ascii="Times New Roman" w:hAnsi="Times New Roman"/>
          <w:sz w:val="24"/>
          <w:szCs w:val="24"/>
          <w:lang w:val="el-GR"/>
        </w:rPr>
        <w:t xml:space="preserve">του </w:t>
      </w:r>
      <w:r w:rsidR="005F5798" w:rsidRPr="005F5798">
        <w:rPr>
          <w:rFonts w:ascii="Times New Roman" w:hAnsi="Times New Roman"/>
          <w:sz w:val="24"/>
          <w:szCs w:val="24"/>
          <w:lang w:val="el-GR"/>
        </w:rPr>
        <w:t xml:space="preserve">αποκλεισμού, καθώς και το </w:t>
      </w:r>
      <w:r>
        <w:rPr>
          <w:rFonts w:ascii="Times New Roman" w:hAnsi="Times New Roman"/>
          <w:sz w:val="24"/>
          <w:szCs w:val="24"/>
          <w:lang w:val="el-GR"/>
        </w:rPr>
        <w:t>τεράστιο</w:t>
      </w:r>
      <w:r w:rsidR="005F5798" w:rsidRPr="005F5798">
        <w:rPr>
          <w:rFonts w:ascii="Times New Roman" w:hAnsi="Times New Roman"/>
          <w:sz w:val="24"/>
          <w:szCs w:val="24"/>
          <w:lang w:val="el-GR"/>
        </w:rPr>
        <w:t xml:space="preserve"> χάσμα </w:t>
      </w:r>
      <w:r>
        <w:rPr>
          <w:rFonts w:ascii="Times New Roman" w:hAnsi="Times New Roman"/>
          <w:sz w:val="24"/>
          <w:szCs w:val="24"/>
          <w:lang w:val="el-GR"/>
        </w:rPr>
        <w:t xml:space="preserve">μεταξύ των ατόμων </w:t>
      </w:r>
      <w:r w:rsidR="005F5798" w:rsidRPr="005F5798">
        <w:rPr>
          <w:rFonts w:ascii="Times New Roman" w:hAnsi="Times New Roman"/>
          <w:sz w:val="24"/>
          <w:szCs w:val="24"/>
          <w:lang w:val="el-GR"/>
        </w:rPr>
        <w:t xml:space="preserve">με αναπηρία </w:t>
      </w:r>
      <w:r>
        <w:rPr>
          <w:rFonts w:ascii="Times New Roman" w:hAnsi="Times New Roman"/>
          <w:sz w:val="24"/>
          <w:szCs w:val="24"/>
          <w:lang w:val="el-GR"/>
        </w:rPr>
        <w:t xml:space="preserve">και </w:t>
      </w:r>
      <w:r w:rsidR="005F5798" w:rsidRPr="005F5798">
        <w:rPr>
          <w:rFonts w:ascii="Times New Roman" w:hAnsi="Times New Roman"/>
          <w:sz w:val="24"/>
          <w:szCs w:val="24"/>
          <w:lang w:val="el-GR"/>
        </w:rPr>
        <w:t>χωρίς αναπηρία σε επίπεδο υλικών συνθηκών διαβίωσης και κοινωνικής ενσωμάτωσης</w:t>
      </w:r>
      <w:r>
        <w:rPr>
          <w:rFonts w:ascii="Times New Roman" w:hAnsi="Times New Roman"/>
          <w:sz w:val="24"/>
          <w:szCs w:val="24"/>
          <w:lang w:val="el-GR"/>
        </w:rPr>
        <w:t xml:space="preserve">, </w:t>
      </w:r>
      <w:r w:rsidR="005F5798" w:rsidRPr="005F5798">
        <w:rPr>
          <w:rFonts w:ascii="Times New Roman" w:hAnsi="Times New Roman"/>
          <w:sz w:val="24"/>
          <w:szCs w:val="24"/>
          <w:lang w:val="el-GR"/>
        </w:rPr>
        <w:t>αποκ</w:t>
      </w:r>
      <w:r>
        <w:rPr>
          <w:rFonts w:ascii="Times New Roman" w:hAnsi="Times New Roman"/>
          <w:sz w:val="24"/>
          <w:szCs w:val="24"/>
          <w:lang w:val="el-GR"/>
        </w:rPr>
        <w:t>αλύπτεται λαμβάνοντας υπόψη τους παράγοντες</w:t>
      </w:r>
      <w:r w:rsidR="005F5798" w:rsidRPr="005F5798">
        <w:rPr>
          <w:rFonts w:ascii="Times New Roman" w:hAnsi="Times New Roman"/>
          <w:sz w:val="24"/>
          <w:szCs w:val="24"/>
          <w:lang w:val="el-GR"/>
        </w:rPr>
        <w:t xml:space="preserve"> της ηλικίας και τη</w:t>
      </w:r>
      <w:r w:rsidR="00567189">
        <w:rPr>
          <w:rFonts w:ascii="Times New Roman" w:hAnsi="Times New Roman"/>
          <w:sz w:val="24"/>
          <w:szCs w:val="24"/>
          <w:lang w:val="el-GR"/>
        </w:rPr>
        <w:t xml:space="preserve"> </w:t>
      </w:r>
      <w:r w:rsidR="005F5798" w:rsidRPr="005F5798">
        <w:rPr>
          <w:rFonts w:ascii="Times New Roman" w:hAnsi="Times New Roman"/>
          <w:sz w:val="24"/>
          <w:szCs w:val="24"/>
          <w:lang w:val="el-GR"/>
        </w:rPr>
        <w:t xml:space="preserve">σοβαρότητα της αναπηρίας. </w:t>
      </w:r>
    </w:p>
    <w:p w14:paraId="619B3E41" w14:textId="77777777" w:rsidR="005F5798" w:rsidRPr="005F5798" w:rsidRDefault="005F5798" w:rsidP="005F5798">
      <w:pPr>
        <w:jc w:val="both"/>
        <w:rPr>
          <w:rFonts w:ascii="Constantia" w:eastAsia="Georgia" w:hAnsi="Constantia" w:cstheme="majorHAnsi"/>
          <w:bCs/>
          <w:sz w:val="24"/>
          <w:szCs w:val="24"/>
          <w:lang w:val="el-GR"/>
        </w:rPr>
      </w:pPr>
      <w:r w:rsidRPr="005F5798">
        <w:rPr>
          <w:rFonts w:ascii="Times New Roman" w:hAnsi="Times New Roman"/>
          <w:sz w:val="24"/>
          <w:szCs w:val="24"/>
          <w:lang w:val="el-GR"/>
        </w:rPr>
        <w:t>Αναλύοντας τα δεδομένα ανά ηλικιακή ομάδα καταδεικνύεται ότι ο κίνδυνος της φτώχειας και του κοινωνικού αποκλεισμού λαμβάνει τρομακτικές διαστάσεις στα άτομα με σοβαρή αναπηρία στις παραγωγικές ηλικίες, όπου δεν υπάρχει το δίκτυ προστασίας των συντάξεων</w:t>
      </w:r>
      <w:r w:rsidRPr="00FC322E">
        <w:rPr>
          <w:rStyle w:val="a8"/>
          <w:rFonts w:ascii="Constantia" w:eastAsia="Georgia" w:hAnsi="Constantia" w:cstheme="majorHAnsi"/>
          <w:bCs/>
          <w:sz w:val="24"/>
          <w:szCs w:val="24"/>
        </w:rPr>
        <w:footnoteReference w:id="1"/>
      </w:r>
      <w:r w:rsidRPr="005F5798">
        <w:rPr>
          <w:rFonts w:ascii="Constantia" w:eastAsia="Georgia" w:hAnsi="Constantia" w:cstheme="majorHAnsi"/>
          <w:bCs/>
          <w:sz w:val="24"/>
          <w:szCs w:val="24"/>
          <w:lang w:val="el-GR"/>
        </w:rPr>
        <w:t xml:space="preserve">. </w:t>
      </w:r>
    </w:p>
    <w:p w14:paraId="1BB036EE" w14:textId="77777777" w:rsidR="005F5798" w:rsidRPr="005F5798" w:rsidRDefault="005F5798" w:rsidP="005F5798">
      <w:pPr>
        <w:jc w:val="both"/>
        <w:rPr>
          <w:rFonts w:ascii="Times New Roman" w:hAnsi="Times New Roman"/>
          <w:sz w:val="24"/>
          <w:szCs w:val="24"/>
          <w:lang w:val="el-GR"/>
        </w:rPr>
      </w:pPr>
    </w:p>
    <w:p w14:paraId="523810D7" w14:textId="776F44D7" w:rsidR="005F5798" w:rsidRPr="005F5798" w:rsidRDefault="005F5798" w:rsidP="00567189">
      <w:pPr>
        <w:pStyle w:val="10"/>
        <w:ind w:left="851" w:right="651"/>
        <w:rPr>
          <w:b/>
          <w:sz w:val="24"/>
          <w:szCs w:val="24"/>
          <w:lang w:val="el-GR"/>
        </w:rPr>
      </w:pPr>
      <w:bookmarkStart w:id="3" w:name="_Toc59179439"/>
      <w:r w:rsidRPr="005F5798">
        <w:rPr>
          <w:b/>
          <w:sz w:val="24"/>
          <w:szCs w:val="24"/>
          <w:lang w:val="el-GR"/>
        </w:rPr>
        <w:lastRenderedPageBreak/>
        <w:t xml:space="preserve">Γράφημα </w:t>
      </w:r>
      <w:r w:rsidR="0084626E">
        <w:rPr>
          <w:b/>
          <w:sz w:val="24"/>
          <w:szCs w:val="24"/>
          <w:lang w:val="el-GR"/>
        </w:rPr>
        <w:fldChar w:fldCharType="begin"/>
      </w:r>
      <w:r w:rsidR="006634A5">
        <w:rPr>
          <w:b/>
          <w:sz w:val="24"/>
          <w:szCs w:val="24"/>
          <w:lang w:val="el-GR"/>
        </w:rPr>
        <w:instrText xml:space="preserve"> SEQ Γράφημα \* ARABIC </w:instrText>
      </w:r>
      <w:r w:rsidR="0084626E">
        <w:rPr>
          <w:b/>
          <w:sz w:val="24"/>
          <w:szCs w:val="24"/>
          <w:lang w:val="el-GR"/>
        </w:rPr>
        <w:fldChar w:fldCharType="separate"/>
      </w:r>
      <w:r w:rsidR="00DA4DF6">
        <w:rPr>
          <w:b/>
          <w:noProof/>
          <w:sz w:val="24"/>
          <w:szCs w:val="24"/>
          <w:lang w:val="el-GR"/>
        </w:rPr>
        <w:t>2</w:t>
      </w:r>
      <w:r w:rsidR="0084626E">
        <w:rPr>
          <w:b/>
          <w:sz w:val="24"/>
          <w:szCs w:val="24"/>
          <w:lang w:val="el-GR"/>
        </w:rPr>
        <w:fldChar w:fldCharType="end"/>
      </w:r>
      <w:r w:rsidRPr="005F5798">
        <w:rPr>
          <w:b/>
          <w:sz w:val="24"/>
          <w:szCs w:val="24"/>
          <w:lang w:val="el-GR"/>
        </w:rPr>
        <w:t>: Πληθυσμός σε κίνδυνο φτώχειας ή σε κοινωνικό αποκλεισμό ανά ομάδες ηλικιών και κατάσταση αναπηρίας (Σοβαρή αναπηρία/Χωρίς αναπηρία) το 2019</w:t>
      </w:r>
      <w:bookmarkEnd w:id="3"/>
    </w:p>
    <w:p w14:paraId="4BEAF3C7" w14:textId="77777777" w:rsidR="00567189" w:rsidRDefault="005F5798" w:rsidP="00567189">
      <w:pPr>
        <w:keepNext/>
        <w:ind w:left="851"/>
        <w:jc w:val="both"/>
      </w:pPr>
      <w:r w:rsidRPr="001E5437">
        <w:rPr>
          <w:rFonts w:ascii="Times New Roman" w:hAnsi="Times New Roman"/>
          <w:noProof/>
          <w:sz w:val="24"/>
          <w:szCs w:val="24"/>
          <w:lang w:val="el-GR" w:eastAsia="el-GR"/>
        </w:rPr>
        <w:drawing>
          <wp:inline distT="0" distB="0" distL="0" distR="0" wp14:anchorId="01BC8C96" wp14:editId="63B90D8C">
            <wp:extent cx="4752735" cy="2973721"/>
            <wp:effectExtent l="0" t="0" r="0" b="0"/>
            <wp:docPr id="9" name="Γράφημα 2" descr="16-24 ετών: σοβαρή αναπηρία 42,1 και χωρίς αναπηρία 38,9.&#10;25-34 ετών: σοβαρή αναπηρία 69,2 και χωρίς αναπηρία 32.&#10;35-44 ετών: σοβαρή αναπηρία 67,6 και χωρίς αναπηρία 26,4.&#10;45-54 ετών: σοβαρή αναπηρία 58,6 και χωρίς αναπηρία 28,6.&#10;55-64 ετών: σοβαρή αναπηρία 50,9 και χωρίς αναπηρία 32,8.&#10;65 και άνω: σοβαρή αναπηρία 26 και χωρίς αναπηρία 1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96F3CF" w14:textId="77777777" w:rsidR="00567189" w:rsidRPr="006B62F0" w:rsidRDefault="00567189" w:rsidP="00567189">
      <w:pPr>
        <w:pStyle w:val="aa"/>
        <w:ind w:left="851"/>
        <w:jc w:val="both"/>
        <w:rPr>
          <w:rFonts w:ascii="Constantia" w:eastAsia="Georgia" w:hAnsi="Constantia" w:cstheme="majorHAnsi"/>
          <w:bCs/>
          <w:sz w:val="24"/>
          <w:szCs w:val="24"/>
        </w:rPr>
      </w:pPr>
      <w:r w:rsidRPr="006B62F0">
        <w:rPr>
          <w:lang w:val="el-GR"/>
        </w:rPr>
        <w:t>Πηγή</w:t>
      </w:r>
      <w:r w:rsidRPr="006B62F0">
        <w:t xml:space="preserve"> </w:t>
      </w:r>
      <w:r w:rsidRPr="006B62F0">
        <w:rPr>
          <w:lang w:val="el-GR"/>
        </w:rPr>
        <w:t>δεδομένων</w:t>
      </w:r>
      <w:r w:rsidRPr="006B62F0">
        <w:t xml:space="preserve">: </w:t>
      </w:r>
      <w:r>
        <w:t>Eurostat database, EU-SILC (</w:t>
      </w:r>
      <w:r w:rsidRPr="006B62F0">
        <w:t>Statistics on Income and Living Conditions</w:t>
      </w:r>
      <w:r>
        <w:t>)</w:t>
      </w:r>
    </w:p>
    <w:p w14:paraId="2D140FDC" w14:textId="77777777" w:rsidR="005F5798" w:rsidRPr="00F55A5A" w:rsidRDefault="005F5798" w:rsidP="005F5798">
      <w:pPr>
        <w:tabs>
          <w:tab w:val="left" w:pos="3279"/>
        </w:tabs>
        <w:jc w:val="both"/>
        <w:rPr>
          <w:sz w:val="24"/>
          <w:szCs w:val="24"/>
          <w:lang w:val="el-GR"/>
        </w:rPr>
      </w:pPr>
      <w:r w:rsidRPr="00F55A5A">
        <w:rPr>
          <w:sz w:val="24"/>
          <w:szCs w:val="24"/>
          <w:lang w:val="el-GR"/>
        </w:rPr>
        <w:t xml:space="preserve">Πιο αναλυτικά ανά ηλικιακή κατηγορία, σε κίνδυνο φτώχειας ή κοινωνικού αποκλεισμού βρίσκεται: </w:t>
      </w:r>
    </w:p>
    <w:p w14:paraId="75B14595" w14:textId="77777777" w:rsidR="005F5798" w:rsidRPr="00F55A5A" w:rsidRDefault="005F5798" w:rsidP="00F4074C">
      <w:pPr>
        <w:pStyle w:val="a9"/>
        <w:numPr>
          <w:ilvl w:val="0"/>
          <w:numId w:val="12"/>
        </w:numPr>
        <w:rPr>
          <w:sz w:val="24"/>
          <w:szCs w:val="24"/>
          <w:lang w:val="el-GR"/>
        </w:rPr>
      </w:pPr>
      <w:r w:rsidRPr="00F55A5A">
        <w:rPr>
          <w:sz w:val="24"/>
          <w:szCs w:val="24"/>
          <w:lang w:val="el-GR"/>
        </w:rPr>
        <w:t>Το 69,2% του πληθυσμού με σοβαρή αναπηρία 25-34 ετών (έναντι του 32% του πληθυσμού χωρίς αναπηρία),</w:t>
      </w:r>
    </w:p>
    <w:p w14:paraId="2CC75D17" w14:textId="77777777" w:rsidR="005F5798" w:rsidRPr="00F55A5A" w:rsidRDefault="005F5798" w:rsidP="00F4074C">
      <w:pPr>
        <w:pStyle w:val="a9"/>
        <w:numPr>
          <w:ilvl w:val="0"/>
          <w:numId w:val="12"/>
        </w:numPr>
        <w:rPr>
          <w:sz w:val="24"/>
          <w:szCs w:val="24"/>
          <w:lang w:val="el-GR"/>
        </w:rPr>
      </w:pPr>
      <w:r w:rsidRPr="00F55A5A">
        <w:rPr>
          <w:sz w:val="24"/>
          <w:szCs w:val="24"/>
          <w:lang w:val="el-GR"/>
        </w:rPr>
        <w:t>Το 67,6% του πληθυσμού με σοβαρή αναπηρία 35-44 ετών (έναντι του 26,4% του πληθυσμού χωρίς αναπηρία),</w:t>
      </w:r>
    </w:p>
    <w:p w14:paraId="774B0DD9" w14:textId="77777777" w:rsidR="005F5798" w:rsidRPr="00F55A5A" w:rsidRDefault="005F5798" w:rsidP="00F4074C">
      <w:pPr>
        <w:pStyle w:val="a9"/>
        <w:numPr>
          <w:ilvl w:val="0"/>
          <w:numId w:val="12"/>
        </w:numPr>
        <w:rPr>
          <w:sz w:val="24"/>
          <w:szCs w:val="24"/>
          <w:lang w:val="el-GR"/>
        </w:rPr>
      </w:pPr>
      <w:r w:rsidRPr="00F55A5A">
        <w:rPr>
          <w:sz w:val="24"/>
          <w:szCs w:val="24"/>
          <w:lang w:val="el-GR"/>
        </w:rPr>
        <w:t>Το 58,6% του πληθυσμού με σοβαρή αναπηρία 45-54 ετών (έναντι του 28,6% του πληθυσμού χωρίς αναπηρία),</w:t>
      </w:r>
    </w:p>
    <w:p w14:paraId="155F3D83" w14:textId="77777777" w:rsidR="005F5798" w:rsidRPr="00F55A5A" w:rsidRDefault="005F5798" w:rsidP="00F4074C">
      <w:pPr>
        <w:pStyle w:val="a9"/>
        <w:numPr>
          <w:ilvl w:val="0"/>
          <w:numId w:val="12"/>
        </w:numPr>
        <w:rPr>
          <w:sz w:val="24"/>
          <w:szCs w:val="24"/>
          <w:lang w:val="el-GR"/>
        </w:rPr>
      </w:pPr>
      <w:r w:rsidRPr="00F55A5A">
        <w:rPr>
          <w:sz w:val="24"/>
          <w:szCs w:val="24"/>
          <w:lang w:val="el-GR"/>
        </w:rPr>
        <w:t>Το 50,9% του πληθυσμού με σοβαρή αναπηρία 55-64 ετών (έναντι του 32,8% του πληθυσμού χωρίς αναπηρία).</w:t>
      </w:r>
    </w:p>
    <w:p w14:paraId="01C791DA" w14:textId="77777777" w:rsidR="005F5798" w:rsidRPr="005F5798" w:rsidRDefault="005F5798" w:rsidP="005F5798">
      <w:pPr>
        <w:tabs>
          <w:tab w:val="left" w:pos="3279"/>
        </w:tabs>
        <w:jc w:val="both"/>
        <w:rPr>
          <w:rFonts w:ascii="Times New Roman" w:hAnsi="Times New Roman"/>
          <w:sz w:val="24"/>
          <w:szCs w:val="24"/>
          <w:lang w:val="el-GR"/>
        </w:rPr>
      </w:pPr>
    </w:p>
    <w:p w14:paraId="603301B4" w14:textId="77777777" w:rsidR="005F5798" w:rsidRPr="00F55A5A" w:rsidRDefault="005F5798" w:rsidP="005F5798">
      <w:pPr>
        <w:jc w:val="both"/>
        <w:rPr>
          <w:b/>
          <w:sz w:val="24"/>
          <w:szCs w:val="24"/>
          <w:lang w:val="el-GR"/>
        </w:rPr>
      </w:pPr>
      <w:r w:rsidRPr="00F55A5A">
        <w:rPr>
          <w:b/>
          <w:sz w:val="24"/>
          <w:szCs w:val="24"/>
          <w:lang w:val="el-GR"/>
        </w:rPr>
        <w:t xml:space="preserve">Συνολικά στην </w:t>
      </w:r>
      <w:r w:rsidR="00BB1A46" w:rsidRPr="00F55A5A">
        <w:rPr>
          <w:b/>
          <w:sz w:val="24"/>
          <w:szCs w:val="24"/>
          <w:lang w:val="el-GR"/>
        </w:rPr>
        <w:t xml:space="preserve">ηλικιακή </w:t>
      </w:r>
      <w:r w:rsidRPr="00F55A5A">
        <w:rPr>
          <w:b/>
          <w:sz w:val="24"/>
          <w:szCs w:val="24"/>
          <w:lang w:val="el-GR"/>
        </w:rPr>
        <w:t xml:space="preserve">ομάδα 16-64 ετών, στο φάσμα της φτώχειας και του αποκλεισμού βρίσκονται </w:t>
      </w:r>
      <w:r w:rsidR="00BB1A46" w:rsidRPr="00F55A5A">
        <w:rPr>
          <w:b/>
          <w:sz w:val="24"/>
          <w:szCs w:val="24"/>
          <w:lang w:val="el-GR"/>
        </w:rPr>
        <w:t xml:space="preserve">το 2019 </w:t>
      </w:r>
      <w:r w:rsidRPr="00F55A5A">
        <w:rPr>
          <w:b/>
          <w:sz w:val="24"/>
          <w:szCs w:val="24"/>
          <w:lang w:val="el-GR"/>
        </w:rPr>
        <w:t xml:space="preserve">οι 6 στους 10 πολίτες με σοβαρή αναπηρία,  καταγράφοντας σχεδόν διπλάσιο ποσοστό σε σύγκριση με τους πολίτες χωρίς αναπηρία. </w:t>
      </w:r>
    </w:p>
    <w:p w14:paraId="1FD5485C" w14:textId="77777777" w:rsidR="005F5798" w:rsidRPr="005F5798" w:rsidRDefault="005F5798" w:rsidP="005F5798">
      <w:pPr>
        <w:jc w:val="both"/>
        <w:rPr>
          <w:rFonts w:ascii="Times New Roman" w:hAnsi="Times New Roman"/>
          <w:sz w:val="24"/>
          <w:szCs w:val="24"/>
          <w:lang w:val="el-GR"/>
        </w:rPr>
      </w:pPr>
      <w:r w:rsidRPr="00F55A5A">
        <w:rPr>
          <w:sz w:val="24"/>
          <w:szCs w:val="24"/>
          <w:lang w:val="el-GR"/>
        </w:rPr>
        <w:t xml:space="preserve">Η διαχρονική εξέλιξη του δείκτη έχει επίσης ιδιαίτερο ενδιαφέρον, καθώς καταδεικνύει τις ασύμμετρες επιπτώσεις της δεκαετούς οικονομικής κρίσης στα άτομα με σοβαρή αναπηρία </w:t>
      </w:r>
      <w:r w:rsidRPr="00F55A5A">
        <w:rPr>
          <w:sz w:val="24"/>
          <w:szCs w:val="24"/>
          <w:lang w:val="el-GR"/>
        </w:rPr>
        <w:lastRenderedPageBreak/>
        <w:t>που είχαν ως αποτέλεσμα τη δραματική αύξηση του φτώχειας και κοινωνικού αποκλεισμού το διάστημα 2010-2019, με αύξηση της τάξεως των 14 ποσοστιαίων μονάδων (από 43,3 σε 57,2).</w:t>
      </w:r>
      <w:r w:rsidRPr="005F5798">
        <w:rPr>
          <w:rFonts w:ascii="Times New Roman" w:hAnsi="Times New Roman"/>
          <w:sz w:val="24"/>
          <w:szCs w:val="24"/>
          <w:lang w:val="el-GR"/>
        </w:rPr>
        <w:t xml:space="preserve"> </w:t>
      </w:r>
    </w:p>
    <w:p w14:paraId="5445C677" w14:textId="7B674C68" w:rsidR="005F5798" w:rsidRPr="00AA71C3" w:rsidRDefault="005F5798" w:rsidP="00AA71C3">
      <w:pPr>
        <w:pStyle w:val="10"/>
        <w:ind w:left="851" w:right="651"/>
        <w:rPr>
          <w:b/>
          <w:sz w:val="24"/>
          <w:szCs w:val="24"/>
          <w:lang w:val="el-GR"/>
        </w:rPr>
      </w:pPr>
      <w:bookmarkStart w:id="4" w:name="_Toc59179440"/>
      <w:r w:rsidRPr="00AA71C3">
        <w:rPr>
          <w:b/>
          <w:sz w:val="24"/>
          <w:szCs w:val="24"/>
          <w:lang w:val="el-GR"/>
        </w:rPr>
        <w:t xml:space="preserve">Γράφημα </w:t>
      </w:r>
      <w:r w:rsidR="0084626E">
        <w:rPr>
          <w:b/>
          <w:sz w:val="24"/>
          <w:szCs w:val="24"/>
          <w:lang w:val="el-GR"/>
        </w:rPr>
        <w:fldChar w:fldCharType="begin"/>
      </w:r>
      <w:r w:rsidR="006634A5">
        <w:rPr>
          <w:b/>
          <w:sz w:val="24"/>
          <w:szCs w:val="24"/>
          <w:lang w:val="el-GR"/>
        </w:rPr>
        <w:instrText xml:space="preserve"> SEQ Γράφημα \* ARABIC </w:instrText>
      </w:r>
      <w:r w:rsidR="0084626E">
        <w:rPr>
          <w:b/>
          <w:sz w:val="24"/>
          <w:szCs w:val="24"/>
          <w:lang w:val="el-GR"/>
        </w:rPr>
        <w:fldChar w:fldCharType="separate"/>
      </w:r>
      <w:r w:rsidR="00DA4DF6">
        <w:rPr>
          <w:b/>
          <w:noProof/>
          <w:sz w:val="24"/>
          <w:szCs w:val="24"/>
          <w:lang w:val="el-GR"/>
        </w:rPr>
        <w:t>3</w:t>
      </w:r>
      <w:r w:rsidR="0084626E">
        <w:rPr>
          <w:b/>
          <w:sz w:val="24"/>
          <w:szCs w:val="24"/>
          <w:lang w:val="el-GR"/>
        </w:rPr>
        <w:fldChar w:fldCharType="end"/>
      </w:r>
      <w:r w:rsidRPr="00AA71C3">
        <w:rPr>
          <w:b/>
          <w:sz w:val="24"/>
          <w:szCs w:val="24"/>
          <w:lang w:val="el-GR"/>
        </w:rPr>
        <w:t>: Πληθυσμός (16-64 ετών) σε κίνδυνο φτώχειας ή σε κοινωνικό αποκλεισμό (Σοβαρή αναπηρία/χωρίς αναπηρία)</w:t>
      </w:r>
      <w:bookmarkEnd w:id="4"/>
    </w:p>
    <w:p w14:paraId="13DBA34B" w14:textId="77777777" w:rsidR="00E712BF" w:rsidRDefault="005F5798" w:rsidP="00E712BF">
      <w:pPr>
        <w:pStyle w:val="aa"/>
        <w:keepNext/>
        <w:ind w:left="426"/>
      </w:pPr>
      <w:r w:rsidRPr="005445A5">
        <w:rPr>
          <w:rFonts w:ascii="Times New Roman" w:hAnsi="Times New Roman"/>
          <w:b/>
          <w:noProof/>
          <w:color w:val="FF0000"/>
          <w:sz w:val="24"/>
          <w:szCs w:val="24"/>
          <w:lang w:val="el-GR" w:eastAsia="el-GR"/>
        </w:rPr>
        <w:drawing>
          <wp:inline distT="0" distB="0" distL="0" distR="0" wp14:anchorId="34C5387E" wp14:editId="707D5E9F">
            <wp:extent cx="5203581" cy="3033346"/>
            <wp:effectExtent l="0" t="0" r="0" b="0"/>
            <wp:docPr id="5" name="Γράφημα 1" descr="2010: σοβαρή αναπηρία 43,3 και χωρίς αναπηρία 26,7. &#10;2011: σοβαρή αναπηρία 56,5 και χωρίς αναπηρία 30,3. &#10;2012: σοβαρή αναπηρία 57 και χωρίς αναπηρία 36,6. &#10;2013: σοβαρή αναπηρία 60,7 και χωρίς αναπηρία 36,8. &#10;2014: σοβαρή αναπηρία 55,5 και χωρίς αναπηρία 38,6. &#10;2015: σοβαρή αναπηρία 54,5 και χωρίς αναπηρία 38,1. &#10;2016: σοβαρή αναπηρία 58,2 και χωρίς αναπηρία 37,9. &#10;2017: σοβαρή αναπηρία 59,4 και χωρίς αναπηρία 36,6.&#10;2018: σοβαρή αναπηρία 58,2 και χωρίς αναπηρία 33,4.&#10;2019: σοβαρή αναπηρία 57,2 και χωρίς αναπηρία 31.&#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142279" w14:textId="77777777" w:rsidR="00E712BF" w:rsidRPr="006B62F0" w:rsidRDefault="00E712BF" w:rsidP="00E712BF">
      <w:pPr>
        <w:pStyle w:val="aa"/>
        <w:ind w:left="851"/>
        <w:jc w:val="both"/>
        <w:rPr>
          <w:rFonts w:ascii="Constantia" w:eastAsia="Georgia" w:hAnsi="Constantia" w:cstheme="majorHAnsi"/>
          <w:bCs/>
          <w:sz w:val="24"/>
          <w:szCs w:val="24"/>
        </w:rPr>
      </w:pPr>
      <w:r w:rsidRPr="006B62F0">
        <w:rPr>
          <w:lang w:val="el-GR"/>
        </w:rPr>
        <w:t>Πηγή</w:t>
      </w:r>
      <w:r w:rsidRPr="006B62F0">
        <w:t xml:space="preserve"> </w:t>
      </w:r>
      <w:r w:rsidRPr="006B62F0">
        <w:rPr>
          <w:lang w:val="el-GR"/>
        </w:rPr>
        <w:t>δεδομένων</w:t>
      </w:r>
      <w:r w:rsidRPr="006B62F0">
        <w:t xml:space="preserve">: </w:t>
      </w:r>
      <w:r>
        <w:t>Eurostat database, EU-SILC (</w:t>
      </w:r>
      <w:r w:rsidRPr="006B62F0">
        <w:t>Statistics on Income and Living Conditions</w:t>
      </w:r>
      <w:r>
        <w:t>)</w:t>
      </w:r>
    </w:p>
    <w:p w14:paraId="5B7B7EEE" w14:textId="77777777" w:rsidR="00F021AB" w:rsidRPr="00BD0FA7" w:rsidRDefault="00F021AB" w:rsidP="00F021AB">
      <w:pPr>
        <w:jc w:val="both"/>
        <w:rPr>
          <w:sz w:val="24"/>
          <w:szCs w:val="24"/>
        </w:rPr>
      </w:pPr>
    </w:p>
    <w:p w14:paraId="2BC15DC8" w14:textId="77777777" w:rsidR="00F34DE8" w:rsidRPr="00F55A5A" w:rsidRDefault="00F021AB" w:rsidP="00F021AB">
      <w:pPr>
        <w:jc w:val="both"/>
        <w:rPr>
          <w:sz w:val="24"/>
          <w:szCs w:val="24"/>
          <w:lang w:val="el-GR"/>
        </w:rPr>
      </w:pPr>
      <w:r w:rsidRPr="00F55A5A">
        <w:rPr>
          <w:sz w:val="24"/>
          <w:szCs w:val="24"/>
          <w:lang w:val="el-GR"/>
        </w:rPr>
        <w:t xml:space="preserve">Ιδιαίτερα ανησυχητικό είναι το εύρημα ότι, </w:t>
      </w:r>
      <w:r w:rsidR="005F5798" w:rsidRPr="00F55A5A">
        <w:rPr>
          <w:sz w:val="24"/>
          <w:szCs w:val="24"/>
          <w:lang w:val="el-GR"/>
        </w:rPr>
        <w:t xml:space="preserve">ενώ </w:t>
      </w:r>
      <w:r w:rsidR="00F34DE8" w:rsidRPr="00F55A5A">
        <w:rPr>
          <w:sz w:val="24"/>
          <w:szCs w:val="24"/>
          <w:lang w:val="el-GR"/>
        </w:rPr>
        <w:t xml:space="preserve">το διάστημα 2016-2019 </w:t>
      </w:r>
      <w:r w:rsidR="005F5798" w:rsidRPr="00F55A5A">
        <w:rPr>
          <w:sz w:val="24"/>
          <w:szCs w:val="24"/>
          <w:lang w:val="el-GR"/>
        </w:rPr>
        <w:t xml:space="preserve">παρατηρείται μια σταθερή αποκλιμάκωση του ποσοστού </w:t>
      </w:r>
      <w:r w:rsidR="003E6C76" w:rsidRPr="00F55A5A">
        <w:rPr>
          <w:sz w:val="24"/>
          <w:szCs w:val="24"/>
          <w:lang w:val="el-GR"/>
        </w:rPr>
        <w:t xml:space="preserve">κινδύνου φτώχειας ή </w:t>
      </w:r>
      <w:r w:rsidR="005F5798" w:rsidRPr="00F55A5A">
        <w:rPr>
          <w:sz w:val="24"/>
          <w:szCs w:val="24"/>
          <w:lang w:val="el-GR"/>
        </w:rPr>
        <w:t xml:space="preserve">κοινωνικού αποκλεισμού στον πληθυσμό των ατόμων χωρίς αναπηρία, η τάση αυτή δεν </w:t>
      </w:r>
      <w:r w:rsidR="00EF37BD" w:rsidRPr="00F55A5A">
        <w:rPr>
          <w:sz w:val="24"/>
          <w:szCs w:val="24"/>
          <w:lang w:val="el-GR"/>
        </w:rPr>
        <w:t>ακολουθείται</w:t>
      </w:r>
      <w:r w:rsidR="005F5798" w:rsidRPr="00F55A5A">
        <w:rPr>
          <w:sz w:val="24"/>
          <w:szCs w:val="24"/>
          <w:lang w:val="el-GR"/>
        </w:rPr>
        <w:t xml:space="preserve"> και στην κατηγορία του πληθυσμού με σοβαρή αναπηρία. </w:t>
      </w:r>
    </w:p>
    <w:p w14:paraId="34379C05" w14:textId="77777777" w:rsidR="005F5798" w:rsidRPr="00F55A5A" w:rsidRDefault="00EF37BD" w:rsidP="005F5798">
      <w:pPr>
        <w:jc w:val="both"/>
        <w:rPr>
          <w:sz w:val="24"/>
          <w:szCs w:val="24"/>
          <w:lang w:val="el-GR"/>
        </w:rPr>
      </w:pPr>
      <w:r w:rsidRPr="00F55A5A">
        <w:rPr>
          <w:sz w:val="24"/>
          <w:szCs w:val="24"/>
          <w:lang w:val="el-GR"/>
        </w:rPr>
        <w:t>Σ</w:t>
      </w:r>
      <w:r w:rsidR="001D2EDD" w:rsidRPr="00F55A5A">
        <w:rPr>
          <w:sz w:val="24"/>
          <w:szCs w:val="24"/>
          <w:lang w:val="el-GR"/>
        </w:rPr>
        <w:t xml:space="preserve">αν αποτέλεσμα </w:t>
      </w:r>
      <w:r w:rsidRPr="00F55A5A">
        <w:rPr>
          <w:sz w:val="24"/>
          <w:szCs w:val="24"/>
          <w:lang w:val="el-GR"/>
        </w:rPr>
        <w:t xml:space="preserve">έχουμε </w:t>
      </w:r>
      <w:r w:rsidR="001D2EDD" w:rsidRPr="00F55A5A">
        <w:rPr>
          <w:sz w:val="24"/>
          <w:szCs w:val="24"/>
          <w:lang w:val="el-GR"/>
        </w:rPr>
        <w:t xml:space="preserve">την εκ νέου διεύρυνση </w:t>
      </w:r>
      <w:r w:rsidRPr="00F55A5A">
        <w:rPr>
          <w:sz w:val="24"/>
          <w:szCs w:val="24"/>
          <w:lang w:val="el-GR"/>
        </w:rPr>
        <w:t xml:space="preserve">των ανισοτήτων, δηλαδή </w:t>
      </w:r>
      <w:r w:rsidR="001D2EDD" w:rsidRPr="00F55A5A">
        <w:rPr>
          <w:sz w:val="24"/>
          <w:szCs w:val="24"/>
          <w:lang w:val="el-GR"/>
        </w:rPr>
        <w:t>του χάσματος μεταξύ των ατόμων με σοβαρή αναπηρία και των ατόμων χωρίς αναπηρ</w:t>
      </w:r>
      <w:r w:rsidR="00F34DE8" w:rsidRPr="00F55A5A">
        <w:rPr>
          <w:sz w:val="24"/>
          <w:szCs w:val="24"/>
          <w:lang w:val="el-GR"/>
        </w:rPr>
        <w:t>ία</w:t>
      </w:r>
      <w:r w:rsidR="003E6C76" w:rsidRPr="00F55A5A">
        <w:rPr>
          <w:sz w:val="24"/>
          <w:szCs w:val="24"/>
          <w:lang w:val="el-GR"/>
        </w:rPr>
        <w:t>,</w:t>
      </w:r>
      <w:r w:rsidR="001D2EDD" w:rsidRPr="00F55A5A">
        <w:rPr>
          <w:sz w:val="24"/>
          <w:szCs w:val="24"/>
          <w:lang w:val="el-GR"/>
        </w:rPr>
        <w:t xml:space="preserve"> ως προς </w:t>
      </w:r>
      <w:r w:rsidR="003E6C76" w:rsidRPr="00F55A5A">
        <w:rPr>
          <w:sz w:val="24"/>
          <w:szCs w:val="24"/>
          <w:lang w:val="el-GR"/>
        </w:rPr>
        <w:t xml:space="preserve">τα επίπεδα της </w:t>
      </w:r>
      <w:r w:rsidR="00F34DE8" w:rsidRPr="00F55A5A">
        <w:rPr>
          <w:sz w:val="24"/>
          <w:szCs w:val="24"/>
          <w:lang w:val="el-GR"/>
        </w:rPr>
        <w:t xml:space="preserve"> φτώχεια</w:t>
      </w:r>
      <w:r w:rsidRPr="00F55A5A">
        <w:rPr>
          <w:sz w:val="24"/>
          <w:szCs w:val="24"/>
          <w:lang w:val="el-GR"/>
        </w:rPr>
        <w:t>ς</w:t>
      </w:r>
      <w:r w:rsidR="00F34DE8" w:rsidRPr="00F55A5A">
        <w:rPr>
          <w:sz w:val="24"/>
          <w:szCs w:val="24"/>
          <w:lang w:val="el-GR"/>
        </w:rPr>
        <w:t xml:space="preserve"> </w:t>
      </w:r>
      <w:r w:rsidR="003E6C76" w:rsidRPr="00F55A5A">
        <w:rPr>
          <w:sz w:val="24"/>
          <w:szCs w:val="24"/>
          <w:lang w:val="el-GR"/>
        </w:rPr>
        <w:t>και του</w:t>
      </w:r>
      <w:r w:rsidRPr="00F55A5A">
        <w:rPr>
          <w:sz w:val="24"/>
          <w:szCs w:val="24"/>
          <w:lang w:val="el-GR"/>
        </w:rPr>
        <w:t xml:space="preserve"> </w:t>
      </w:r>
      <w:r w:rsidR="00F34DE8" w:rsidRPr="00F55A5A">
        <w:rPr>
          <w:sz w:val="24"/>
          <w:szCs w:val="24"/>
          <w:lang w:val="el-GR"/>
        </w:rPr>
        <w:t>κοινωνικ</w:t>
      </w:r>
      <w:r w:rsidRPr="00F55A5A">
        <w:rPr>
          <w:sz w:val="24"/>
          <w:szCs w:val="24"/>
          <w:lang w:val="el-GR"/>
        </w:rPr>
        <w:t>ού</w:t>
      </w:r>
      <w:r w:rsidR="00F34DE8" w:rsidRPr="00F55A5A">
        <w:rPr>
          <w:sz w:val="24"/>
          <w:szCs w:val="24"/>
          <w:lang w:val="el-GR"/>
        </w:rPr>
        <w:t xml:space="preserve"> αποκλεισμ</w:t>
      </w:r>
      <w:r w:rsidRPr="00F55A5A">
        <w:rPr>
          <w:sz w:val="24"/>
          <w:szCs w:val="24"/>
          <w:lang w:val="el-GR"/>
        </w:rPr>
        <w:t>ού</w:t>
      </w:r>
      <w:r w:rsidR="00F34DE8" w:rsidRPr="00F55A5A">
        <w:rPr>
          <w:sz w:val="24"/>
          <w:szCs w:val="24"/>
          <w:lang w:val="el-GR"/>
        </w:rPr>
        <w:t xml:space="preserve">. Όπως γίνεται αντιληπτό στο </w:t>
      </w:r>
      <w:r w:rsidR="00F34DE8" w:rsidRPr="00EF5286">
        <w:rPr>
          <w:sz w:val="24"/>
          <w:szCs w:val="24"/>
          <w:lang w:val="el-GR"/>
        </w:rPr>
        <w:t>γράφημα 4</w:t>
      </w:r>
      <w:r w:rsidR="00691E1A" w:rsidRPr="00EF5286">
        <w:rPr>
          <w:sz w:val="24"/>
          <w:szCs w:val="24"/>
          <w:lang w:val="el-GR"/>
        </w:rPr>
        <w:t>,</w:t>
      </w:r>
      <w:r w:rsidR="00F34DE8" w:rsidRPr="00EF5286">
        <w:rPr>
          <w:sz w:val="24"/>
          <w:szCs w:val="24"/>
          <w:lang w:val="el-GR"/>
        </w:rPr>
        <w:t xml:space="preserve"> το</w:t>
      </w:r>
      <w:r w:rsidR="00F34DE8" w:rsidRPr="00F55A5A">
        <w:rPr>
          <w:sz w:val="24"/>
          <w:szCs w:val="24"/>
          <w:lang w:val="el-GR"/>
        </w:rPr>
        <w:t xml:space="preserve"> χάσμα διευρύνεται σταθερά </w:t>
      </w:r>
      <w:r w:rsidRPr="00F55A5A">
        <w:rPr>
          <w:sz w:val="24"/>
          <w:szCs w:val="24"/>
          <w:lang w:val="el-GR"/>
        </w:rPr>
        <w:t xml:space="preserve">από </w:t>
      </w:r>
      <w:r w:rsidR="00F34DE8" w:rsidRPr="00F55A5A">
        <w:rPr>
          <w:sz w:val="24"/>
          <w:szCs w:val="24"/>
          <w:lang w:val="el-GR"/>
        </w:rPr>
        <w:t xml:space="preserve">το </w:t>
      </w:r>
      <w:r w:rsidRPr="00F55A5A">
        <w:rPr>
          <w:sz w:val="24"/>
          <w:szCs w:val="24"/>
          <w:lang w:val="el-GR"/>
        </w:rPr>
        <w:t>2017</w:t>
      </w:r>
      <w:r w:rsidR="00691E1A" w:rsidRPr="00F55A5A">
        <w:rPr>
          <w:sz w:val="24"/>
          <w:szCs w:val="24"/>
          <w:lang w:val="el-GR"/>
        </w:rPr>
        <w:t xml:space="preserve"> (με έτος αναφοράς εισοδήματος το 2016)</w:t>
      </w:r>
      <w:r w:rsidRPr="00F55A5A">
        <w:rPr>
          <w:sz w:val="24"/>
          <w:szCs w:val="24"/>
          <w:lang w:val="el-GR"/>
        </w:rPr>
        <w:t xml:space="preserve"> και έπειτα, </w:t>
      </w:r>
      <w:r w:rsidR="00691E1A" w:rsidRPr="00F55A5A">
        <w:rPr>
          <w:sz w:val="24"/>
          <w:szCs w:val="24"/>
          <w:lang w:val="el-GR"/>
        </w:rPr>
        <w:t xml:space="preserve">όταν δηλαδή </w:t>
      </w:r>
      <w:r w:rsidR="00F34DE8" w:rsidRPr="00F55A5A">
        <w:rPr>
          <w:sz w:val="24"/>
          <w:szCs w:val="24"/>
          <w:lang w:val="el-GR"/>
        </w:rPr>
        <w:t>ξεκινάει</w:t>
      </w:r>
      <w:r w:rsidR="00691E1A" w:rsidRPr="00F55A5A">
        <w:rPr>
          <w:sz w:val="24"/>
          <w:szCs w:val="24"/>
          <w:lang w:val="el-GR"/>
        </w:rPr>
        <w:t xml:space="preserve"> κιόλας να καταγράφεται, </w:t>
      </w:r>
      <w:r w:rsidR="003E6C76" w:rsidRPr="00F55A5A">
        <w:rPr>
          <w:sz w:val="24"/>
          <w:szCs w:val="24"/>
          <w:lang w:val="el-GR"/>
        </w:rPr>
        <w:t>μια σταθερή</w:t>
      </w:r>
      <w:r w:rsidRPr="00F55A5A">
        <w:rPr>
          <w:sz w:val="24"/>
          <w:szCs w:val="24"/>
          <w:lang w:val="el-GR"/>
        </w:rPr>
        <w:t xml:space="preserve"> </w:t>
      </w:r>
      <w:r w:rsidR="00691E1A" w:rsidRPr="00F55A5A">
        <w:rPr>
          <w:sz w:val="24"/>
          <w:szCs w:val="24"/>
          <w:lang w:val="el-GR"/>
        </w:rPr>
        <w:t>(</w:t>
      </w:r>
      <w:r w:rsidR="003E6C76" w:rsidRPr="00F55A5A">
        <w:rPr>
          <w:sz w:val="24"/>
          <w:szCs w:val="24"/>
          <w:lang w:val="el-GR"/>
        </w:rPr>
        <w:t>μ</w:t>
      </w:r>
      <w:r w:rsidR="00691E1A" w:rsidRPr="00F55A5A">
        <w:rPr>
          <w:sz w:val="24"/>
          <w:szCs w:val="24"/>
          <w:lang w:val="el-GR"/>
        </w:rPr>
        <w:t>έχρι το 2019)</w:t>
      </w:r>
      <w:r w:rsidR="00F34DE8" w:rsidRPr="00F55A5A">
        <w:rPr>
          <w:sz w:val="24"/>
          <w:szCs w:val="24"/>
          <w:lang w:val="el-GR"/>
        </w:rPr>
        <w:t xml:space="preserve"> </w:t>
      </w:r>
      <w:r w:rsidR="00691E1A" w:rsidRPr="00F55A5A">
        <w:rPr>
          <w:sz w:val="24"/>
          <w:szCs w:val="24"/>
          <w:lang w:val="el-GR"/>
        </w:rPr>
        <w:t xml:space="preserve">αύξηση </w:t>
      </w:r>
      <w:r w:rsidR="00F34DE8" w:rsidRPr="00F55A5A">
        <w:rPr>
          <w:sz w:val="24"/>
          <w:szCs w:val="24"/>
          <w:lang w:val="el-GR"/>
        </w:rPr>
        <w:t xml:space="preserve">του </w:t>
      </w:r>
      <w:r w:rsidR="00A162A4" w:rsidRPr="00F55A5A">
        <w:rPr>
          <w:sz w:val="24"/>
          <w:szCs w:val="24"/>
          <w:lang w:val="el-GR"/>
        </w:rPr>
        <w:t xml:space="preserve">μέσου </w:t>
      </w:r>
      <w:r w:rsidR="003E6C76" w:rsidRPr="00F55A5A">
        <w:rPr>
          <w:sz w:val="24"/>
          <w:szCs w:val="24"/>
          <w:lang w:val="el-GR"/>
        </w:rPr>
        <w:t>διαθέσιμου εισοδήματος στη χώρα.</w:t>
      </w:r>
    </w:p>
    <w:p w14:paraId="546947E7" w14:textId="6108805B" w:rsidR="00E712BF" w:rsidRDefault="00E712BF" w:rsidP="006523C4">
      <w:pPr>
        <w:pStyle w:val="10"/>
        <w:ind w:left="851" w:right="651"/>
        <w:rPr>
          <w:b/>
          <w:sz w:val="24"/>
          <w:szCs w:val="24"/>
          <w:lang w:val="el-GR"/>
        </w:rPr>
      </w:pPr>
      <w:bookmarkStart w:id="5" w:name="_Toc59179441"/>
      <w:r w:rsidRPr="00E712BF">
        <w:rPr>
          <w:b/>
          <w:sz w:val="24"/>
          <w:szCs w:val="24"/>
          <w:lang w:val="el-GR"/>
        </w:rPr>
        <w:lastRenderedPageBreak/>
        <w:t xml:space="preserve">Γράφημα </w:t>
      </w:r>
      <w:r w:rsidR="0084626E">
        <w:rPr>
          <w:b/>
          <w:sz w:val="24"/>
          <w:szCs w:val="24"/>
          <w:lang w:val="el-GR"/>
        </w:rPr>
        <w:fldChar w:fldCharType="begin"/>
      </w:r>
      <w:r w:rsidR="006634A5">
        <w:rPr>
          <w:b/>
          <w:sz w:val="24"/>
          <w:szCs w:val="24"/>
          <w:lang w:val="el-GR"/>
        </w:rPr>
        <w:instrText xml:space="preserve"> SEQ Γράφημα \* ARABIC </w:instrText>
      </w:r>
      <w:r w:rsidR="0084626E">
        <w:rPr>
          <w:b/>
          <w:sz w:val="24"/>
          <w:szCs w:val="24"/>
          <w:lang w:val="el-GR"/>
        </w:rPr>
        <w:fldChar w:fldCharType="separate"/>
      </w:r>
      <w:r w:rsidR="00DA4DF6">
        <w:rPr>
          <w:b/>
          <w:noProof/>
          <w:sz w:val="24"/>
          <w:szCs w:val="24"/>
          <w:lang w:val="el-GR"/>
        </w:rPr>
        <w:t>4</w:t>
      </w:r>
      <w:r w:rsidR="0084626E">
        <w:rPr>
          <w:b/>
          <w:sz w:val="24"/>
          <w:szCs w:val="24"/>
          <w:lang w:val="el-GR"/>
        </w:rPr>
        <w:fldChar w:fldCharType="end"/>
      </w:r>
      <w:r w:rsidRPr="00E712BF">
        <w:rPr>
          <w:b/>
          <w:sz w:val="24"/>
          <w:szCs w:val="24"/>
          <w:lang w:val="el-GR"/>
        </w:rPr>
        <w:t xml:space="preserve">: Χάσμα </w:t>
      </w:r>
      <w:r w:rsidR="00462C69">
        <w:rPr>
          <w:b/>
          <w:sz w:val="24"/>
          <w:szCs w:val="24"/>
          <w:lang w:val="el-GR"/>
        </w:rPr>
        <w:t>(</w:t>
      </w:r>
      <w:r w:rsidR="00462C69">
        <w:rPr>
          <w:b/>
          <w:sz w:val="24"/>
          <w:szCs w:val="24"/>
        </w:rPr>
        <w:t>gap</w:t>
      </w:r>
      <w:r w:rsidR="00462C69" w:rsidRPr="00462C69">
        <w:rPr>
          <w:b/>
          <w:sz w:val="24"/>
          <w:szCs w:val="24"/>
          <w:lang w:val="el-GR"/>
        </w:rPr>
        <w:t xml:space="preserve">) </w:t>
      </w:r>
      <w:r w:rsidRPr="00E712BF">
        <w:rPr>
          <w:b/>
          <w:sz w:val="24"/>
          <w:szCs w:val="24"/>
          <w:lang w:val="el-GR"/>
        </w:rPr>
        <w:t xml:space="preserve">κινδύνου Φτώχειας ή αποκλεισμού </w:t>
      </w:r>
      <w:r w:rsidR="00462C69">
        <w:rPr>
          <w:b/>
          <w:sz w:val="24"/>
          <w:szCs w:val="24"/>
          <w:lang w:val="el-GR"/>
        </w:rPr>
        <w:t xml:space="preserve">μεταξύ από με σοβαρή αναπηρία και χωρίς αναπηρία </w:t>
      </w:r>
      <w:r w:rsidRPr="00E712BF">
        <w:rPr>
          <w:b/>
          <w:sz w:val="24"/>
          <w:szCs w:val="24"/>
          <w:lang w:val="el-GR"/>
        </w:rPr>
        <w:t>(%πληθυσμού με σοβαρή αναπηρία-%πληθυσμού χωρίς αναπηρία)</w:t>
      </w:r>
      <w:bookmarkEnd w:id="5"/>
    </w:p>
    <w:p w14:paraId="65F84BD2" w14:textId="77777777" w:rsidR="00A31841" w:rsidRPr="00A31841" w:rsidRDefault="00A31841" w:rsidP="006523C4">
      <w:pPr>
        <w:ind w:left="709"/>
        <w:rPr>
          <w:lang w:val="el-GR"/>
        </w:rPr>
      </w:pPr>
      <w:r w:rsidRPr="00A31841">
        <w:rPr>
          <w:noProof/>
          <w:lang w:val="el-GR" w:eastAsia="el-GR"/>
        </w:rPr>
        <w:drawing>
          <wp:inline distT="0" distB="0" distL="0" distR="0" wp14:anchorId="7AF7B2B7" wp14:editId="68648DE1">
            <wp:extent cx="4931019" cy="3420208"/>
            <wp:effectExtent l="0" t="0" r="3175" b="8890"/>
            <wp:docPr id="20" name="Γράφημα 20" descr="2010: 16,6. &#10;2011: 26,2. &#10;2012: 20,4. &#10;2013: 23,9. &#10;2014: 16,9. &#10;2015: 16,4. &#10;2016: 20,3. &#10;2017: 22,8. &#10;2018: 24,8. &#10;2019: 26,2.&#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81AE81" w14:textId="77777777" w:rsidR="009668F1" w:rsidRPr="006B62F0" w:rsidRDefault="009668F1" w:rsidP="009668F1">
      <w:pPr>
        <w:pStyle w:val="aa"/>
        <w:ind w:left="851"/>
        <w:jc w:val="both"/>
        <w:rPr>
          <w:rFonts w:ascii="Constantia" w:eastAsia="Georgia" w:hAnsi="Constantia" w:cstheme="majorHAnsi"/>
          <w:bCs/>
          <w:sz w:val="24"/>
          <w:szCs w:val="24"/>
        </w:rPr>
      </w:pPr>
      <w:r w:rsidRPr="006B62F0">
        <w:rPr>
          <w:lang w:val="el-GR"/>
        </w:rPr>
        <w:t>Πηγή</w:t>
      </w:r>
      <w:r w:rsidRPr="006B62F0">
        <w:t xml:space="preserve"> </w:t>
      </w:r>
      <w:r w:rsidRPr="006B62F0">
        <w:rPr>
          <w:lang w:val="el-GR"/>
        </w:rPr>
        <w:t>δεδομένων</w:t>
      </w:r>
      <w:r w:rsidRPr="006B62F0">
        <w:t xml:space="preserve">: </w:t>
      </w:r>
      <w:r>
        <w:t>Eurostat database, EU-SILC (</w:t>
      </w:r>
      <w:r w:rsidRPr="006B62F0">
        <w:t>Statistics on Income and Living Conditions</w:t>
      </w:r>
      <w:r>
        <w:t>)</w:t>
      </w:r>
    </w:p>
    <w:p w14:paraId="33002906" w14:textId="77777777" w:rsidR="00044D92" w:rsidRPr="00BD0FA7" w:rsidRDefault="00044D92" w:rsidP="007665EC">
      <w:pPr>
        <w:tabs>
          <w:tab w:val="left" w:pos="3372"/>
        </w:tabs>
        <w:ind w:right="142"/>
        <w:jc w:val="both"/>
      </w:pPr>
    </w:p>
    <w:p w14:paraId="283299EE" w14:textId="77777777" w:rsidR="00AA21A6" w:rsidRPr="009939FF" w:rsidRDefault="00FB4DCF" w:rsidP="002369C6">
      <w:pPr>
        <w:pStyle w:val="10"/>
        <w:numPr>
          <w:ilvl w:val="0"/>
          <w:numId w:val="11"/>
        </w:numPr>
        <w:spacing w:before="1440"/>
        <w:ind w:left="714" w:hanging="357"/>
        <w:rPr>
          <w:b/>
          <w:color w:val="auto"/>
          <w:lang w:val="el-GR"/>
        </w:rPr>
      </w:pPr>
      <w:bookmarkStart w:id="6" w:name="_Toc59179442"/>
      <w:r>
        <w:rPr>
          <w:b/>
          <w:color w:val="auto"/>
          <w:lang w:val="el-GR"/>
        </w:rPr>
        <w:t>Πληθυσμός σε κίνδυνο φτώχειας</w:t>
      </w:r>
      <w:bookmarkEnd w:id="6"/>
      <w:r>
        <w:rPr>
          <w:b/>
          <w:color w:val="auto"/>
          <w:lang w:val="el-GR"/>
        </w:rPr>
        <w:t xml:space="preserve"> </w:t>
      </w:r>
    </w:p>
    <w:p w14:paraId="384815A1" w14:textId="77777777" w:rsidR="00AA21A6" w:rsidRPr="0099736B" w:rsidRDefault="00AA21A6" w:rsidP="00AA21A6">
      <w:pPr>
        <w:pStyle w:val="Default"/>
        <w:ind w:right="142"/>
        <w:jc w:val="both"/>
        <w:rPr>
          <w:rFonts w:asciiTheme="minorHAnsi" w:hAnsiTheme="minorHAnsi"/>
          <w:b/>
          <w:sz w:val="32"/>
          <w:szCs w:val="32"/>
        </w:rPr>
      </w:pPr>
    </w:p>
    <w:p w14:paraId="407296FB" w14:textId="77777777" w:rsidR="006F6679" w:rsidRPr="00F55A5A" w:rsidRDefault="005F5798" w:rsidP="005F5798">
      <w:pPr>
        <w:jc w:val="both"/>
        <w:rPr>
          <w:sz w:val="24"/>
          <w:szCs w:val="24"/>
          <w:lang w:val="el-GR"/>
        </w:rPr>
      </w:pPr>
      <w:r w:rsidRPr="00F55A5A">
        <w:rPr>
          <w:sz w:val="24"/>
          <w:szCs w:val="24"/>
          <w:lang w:val="el-GR"/>
        </w:rPr>
        <w:t>Ως κίνδυνος φτώχειας (</w:t>
      </w:r>
      <w:r w:rsidRPr="00F55A5A">
        <w:rPr>
          <w:sz w:val="24"/>
          <w:szCs w:val="24"/>
        </w:rPr>
        <w:t>Poverty</w:t>
      </w:r>
      <w:r w:rsidRPr="00F55A5A">
        <w:rPr>
          <w:sz w:val="24"/>
          <w:szCs w:val="24"/>
          <w:lang w:val="el-GR"/>
        </w:rPr>
        <w:t xml:space="preserve"> </w:t>
      </w:r>
      <w:r w:rsidRPr="00F55A5A">
        <w:rPr>
          <w:sz w:val="24"/>
          <w:szCs w:val="24"/>
        </w:rPr>
        <w:t>Risk</w:t>
      </w:r>
      <w:r w:rsidRPr="00F55A5A">
        <w:rPr>
          <w:sz w:val="24"/>
          <w:szCs w:val="24"/>
          <w:lang w:val="el-GR"/>
        </w:rPr>
        <w:t xml:space="preserve">) ορίζεται το ποσοστό των ατόμων που ζουν σε νοικοκυριά, των οποίων το συνολικό ισοδύναμο διαθέσιμο εισόδημα είναι χαμηλότερο του 60% του εθνικού διάμεσου ισοδύναμου διαθέσιμου εισοδήματος. </w:t>
      </w:r>
    </w:p>
    <w:p w14:paraId="0716FEB1" w14:textId="53B592B4" w:rsidR="005F5798" w:rsidRPr="00F55A5A" w:rsidRDefault="005F5798" w:rsidP="005F5798">
      <w:pPr>
        <w:jc w:val="both"/>
        <w:rPr>
          <w:sz w:val="24"/>
          <w:szCs w:val="24"/>
          <w:lang w:val="el-GR"/>
        </w:rPr>
      </w:pPr>
      <w:r w:rsidRPr="00F55A5A">
        <w:rPr>
          <w:sz w:val="24"/>
          <w:szCs w:val="24"/>
          <w:lang w:val="el-GR"/>
        </w:rPr>
        <w:t xml:space="preserve">Ο δείκτης κινδύνου φτώχειας μετράει τη σχετική εισοδηματική φτώχεια του πληθυσμού αναφορικά με ένα κυμαινόμενο κατώφλι φτώχειας το οποίο εξαρτάται από τη συνολική κατανομή του εθνικού εισοδήματος (βλ. </w:t>
      </w:r>
      <w:r w:rsidR="009E0982" w:rsidRPr="00F55A5A">
        <w:rPr>
          <w:sz w:val="24"/>
          <w:szCs w:val="24"/>
          <w:lang w:val="el-GR"/>
        </w:rPr>
        <w:t xml:space="preserve">Μεθοδολογικές σημειώσεις </w:t>
      </w:r>
      <w:r w:rsidRPr="00F55A5A">
        <w:rPr>
          <w:sz w:val="24"/>
          <w:szCs w:val="24"/>
          <w:lang w:val="el-GR"/>
        </w:rPr>
        <w:t>στο πλαίσιο).</w:t>
      </w:r>
    </w:p>
    <w:p w14:paraId="1835882C" w14:textId="77777777" w:rsidR="00133290" w:rsidRPr="005F5798" w:rsidRDefault="00133290" w:rsidP="005F5798">
      <w:pPr>
        <w:jc w:val="both"/>
        <w:rPr>
          <w:rFonts w:ascii="Times New Roman" w:hAnsi="Times New Roman"/>
          <w:sz w:val="24"/>
          <w:szCs w:val="24"/>
          <w:lang w:val="el-GR"/>
        </w:rPr>
      </w:pPr>
    </w:p>
    <w:p w14:paraId="58B5B87B" w14:textId="77777777" w:rsidR="005F5798" w:rsidRPr="00103585" w:rsidRDefault="005F5798" w:rsidP="005F5798">
      <w:pPr>
        <w:pBdr>
          <w:top w:val="single" w:sz="4" w:space="1" w:color="auto"/>
          <w:left w:val="single" w:sz="4" w:space="4" w:color="auto"/>
          <w:bottom w:val="single" w:sz="4" w:space="1" w:color="auto"/>
          <w:right w:val="single" w:sz="4" w:space="4" w:color="auto"/>
        </w:pBdr>
        <w:shd w:val="clear" w:color="auto" w:fill="E7E6E6" w:themeFill="background2"/>
        <w:jc w:val="both"/>
        <w:rPr>
          <w:rFonts w:ascii="Times New Roman" w:hAnsi="Times New Roman"/>
          <w:b/>
          <w:sz w:val="24"/>
          <w:szCs w:val="24"/>
          <w:lang w:val="el-GR"/>
        </w:rPr>
      </w:pPr>
      <w:r w:rsidRPr="005F5798">
        <w:rPr>
          <w:rFonts w:ascii="Times New Roman" w:hAnsi="Times New Roman"/>
          <w:b/>
          <w:sz w:val="24"/>
          <w:szCs w:val="24"/>
          <w:lang w:val="el-GR"/>
        </w:rPr>
        <w:lastRenderedPageBreak/>
        <w:t>Μεθοδολογικές σημειώσε</w:t>
      </w:r>
      <w:r w:rsidR="009E0982">
        <w:rPr>
          <w:rFonts w:ascii="Times New Roman" w:hAnsi="Times New Roman"/>
          <w:b/>
          <w:sz w:val="24"/>
          <w:szCs w:val="24"/>
          <w:lang w:val="el-GR"/>
        </w:rPr>
        <w:t xml:space="preserve">ις για την ερμηνεία του δείκτη </w:t>
      </w:r>
      <w:r w:rsidRPr="005F5798">
        <w:rPr>
          <w:rFonts w:ascii="Times New Roman" w:hAnsi="Times New Roman"/>
          <w:b/>
          <w:sz w:val="24"/>
          <w:szCs w:val="24"/>
          <w:lang w:val="el-GR"/>
        </w:rPr>
        <w:t>κινδύνου φτώχειας</w:t>
      </w:r>
      <w:r w:rsidR="00103585">
        <w:rPr>
          <w:rFonts w:ascii="Times New Roman" w:hAnsi="Times New Roman"/>
          <w:b/>
          <w:sz w:val="24"/>
          <w:szCs w:val="24"/>
          <w:lang w:val="el-GR"/>
        </w:rPr>
        <w:t xml:space="preserve"> (</w:t>
      </w:r>
      <w:r w:rsidR="00103585">
        <w:rPr>
          <w:rFonts w:ascii="Times New Roman" w:hAnsi="Times New Roman"/>
          <w:b/>
          <w:sz w:val="24"/>
          <w:szCs w:val="24"/>
        </w:rPr>
        <w:t>Poverty</w:t>
      </w:r>
      <w:r w:rsidR="00103585" w:rsidRPr="00103585">
        <w:rPr>
          <w:rFonts w:ascii="Times New Roman" w:hAnsi="Times New Roman"/>
          <w:b/>
          <w:sz w:val="24"/>
          <w:szCs w:val="24"/>
          <w:lang w:val="el-GR"/>
        </w:rPr>
        <w:t xml:space="preserve"> </w:t>
      </w:r>
      <w:r w:rsidR="00103585">
        <w:rPr>
          <w:rFonts w:ascii="Times New Roman" w:hAnsi="Times New Roman"/>
          <w:b/>
          <w:sz w:val="24"/>
          <w:szCs w:val="24"/>
        </w:rPr>
        <w:t>Risk</w:t>
      </w:r>
      <w:r w:rsidR="00103585" w:rsidRPr="00103585">
        <w:rPr>
          <w:rFonts w:ascii="Times New Roman" w:hAnsi="Times New Roman"/>
          <w:b/>
          <w:sz w:val="24"/>
          <w:szCs w:val="24"/>
          <w:lang w:val="el-GR"/>
        </w:rPr>
        <w:t>)</w:t>
      </w:r>
    </w:p>
    <w:p w14:paraId="4E731EE0" w14:textId="77777777" w:rsidR="00103585" w:rsidRPr="00074F40" w:rsidRDefault="005F5798" w:rsidP="005F5798">
      <w:pPr>
        <w:pBdr>
          <w:top w:val="single" w:sz="4" w:space="1" w:color="auto"/>
          <w:left w:val="single" w:sz="4" w:space="4" w:color="auto"/>
          <w:bottom w:val="single" w:sz="4" w:space="1" w:color="auto"/>
          <w:right w:val="single" w:sz="4" w:space="4" w:color="auto"/>
        </w:pBdr>
        <w:shd w:val="clear" w:color="auto" w:fill="E7E6E6" w:themeFill="background2"/>
        <w:jc w:val="both"/>
        <w:rPr>
          <w:rFonts w:ascii="Times New Roman" w:hAnsi="Times New Roman"/>
          <w:sz w:val="24"/>
          <w:szCs w:val="24"/>
          <w:lang w:val="el-GR"/>
        </w:rPr>
      </w:pPr>
      <w:r w:rsidRPr="005F5798">
        <w:rPr>
          <w:rFonts w:ascii="Times New Roman" w:hAnsi="Times New Roman"/>
          <w:sz w:val="24"/>
          <w:szCs w:val="24"/>
          <w:lang w:val="el-GR"/>
        </w:rPr>
        <w:t xml:space="preserve">Ο δείκτης κινδύνου φτώχειας μετράει τη σχετική εισοδηματική φτώχεια του πληθυσμού αναφορικά με ένα κυμαινόμενο κατώφλι φτώχειας. Είναι σημαντικό να τονιστεί ότι ο δείκτης κινδύνου φτώχειας, έχοντας ως κατώφλι το διάμεσο ισοδύναμο εισόδημα επηρεάζεται δραστικά από τη συνολική κατανομή του εισοδήματος του πληθυσμού, </w:t>
      </w:r>
      <w:r w:rsidR="00074F40">
        <w:rPr>
          <w:rFonts w:ascii="Times New Roman" w:hAnsi="Times New Roman"/>
          <w:sz w:val="24"/>
          <w:szCs w:val="24"/>
          <w:lang w:val="el-GR"/>
        </w:rPr>
        <w:t>καθώς</w:t>
      </w:r>
      <w:r w:rsidRPr="005F5798">
        <w:rPr>
          <w:rFonts w:ascii="Times New Roman" w:hAnsi="Times New Roman"/>
          <w:sz w:val="24"/>
          <w:szCs w:val="24"/>
          <w:lang w:val="el-GR"/>
        </w:rPr>
        <w:t xml:space="preserve"> μεταβάλλεται σε συνάρτηση με τη γενική εισοδηματική μεταβολή. </w:t>
      </w:r>
    </w:p>
    <w:p w14:paraId="31744933" w14:textId="77777777" w:rsidR="00074F40" w:rsidRDefault="005F5798" w:rsidP="005F5798">
      <w:pPr>
        <w:pBdr>
          <w:top w:val="single" w:sz="4" w:space="1" w:color="auto"/>
          <w:left w:val="single" w:sz="4" w:space="4" w:color="auto"/>
          <w:bottom w:val="single" w:sz="4" w:space="1" w:color="auto"/>
          <w:right w:val="single" w:sz="4" w:space="4" w:color="auto"/>
        </w:pBdr>
        <w:shd w:val="clear" w:color="auto" w:fill="E7E6E6" w:themeFill="background2"/>
        <w:jc w:val="both"/>
        <w:rPr>
          <w:rFonts w:ascii="Times New Roman" w:hAnsi="Times New Roman"/>
          <w:sz w:val="24"/>
          <w:szCs w:val="24"/>
          <w:lang w:val="el-GR"/>
        </w:rPr>
      </w:pPr>
      <w:r w:rsidRPr="005F5798">
        <w:rPr>
          <w:rFonts w:ascii="Times New Roman" w:hAnsi="Times New Roman"/>
          <w:sz w:val="24"/>
          <w:szCs w:val="24"/>
          <w:lang w:val="el-GR"/>
        </w:rPr>
        <w:t>Στην Ελλάδα, η συνολική φτωχοποίηση του πληθυσμού την τελευταία δεκαετία συνεπάγεται την προς τα κάτω συμπίεση της γραμμής της φτώχειας</w:t>
      </w:r>
      <w:r w:rsidRPr="00465ED6">
        <w:rPr>
          <w:rStyle w:val="a8"/>
          <w:rFonts w:ascii="Times New Roman" w:hAnsi="Times New Roman"/>
          <w:sz w:val="24"/>
          <w:szCs w:val="24"/>
        </w:rPr>
        <w:footnoteReference w:id="2"/>
      </w:r>
      <w:r w:rsidRPr="005F5798">
        <w:rPr>
          <w:rFonts w:ascii="Times New Roman" w:hAnsi="Times New Roman"/>
          <w:sz w:val="24"/>
          <w:szCs w:val="24"/>
          <w:lang w:val="el-GR"/>
        </w:rPr>
        <w:t xml:space="preserve">. </w:t>
      </w:r>
      <w:r w:rsidR="00074F40">
        <w:rPr>
          <w:rFonts w:ascii="Times New Roman" w:hAnsi="Times New Roman"/>
          <w:sz w:val="24"/>
          <w:szCs w:val="24"/>
          <w:lang w:val="el-GR"/>
        </w:rPr>
        <w:t>Ειδικότερα, τ</w:t>
      </w:r>
      <w:r w:rsidR="00074F40" w:rsidRPr="00074F40">
        <w:rPr>
          <w:rFonts w:ascii="Times New Roman" w:hAnsi="Times New Roman"/>
          <w:sz w:val="24"/>
          <w:szCs w:val="24"/>
          <w:lang w:val="el-GR"/>
        </w:rPr>
        <w:t xml:space="preserve">ο κατώφλι της φτώχειας ορίζεται σήμερα στα 4.917 ευρώ ανά άτομο ενώ το 2008 ήταν 6.480 ευρώ. Αυτή η μεταβολή συνεπάγεται ότι τμήματα του πληθυσμού με ένα δεδομένο σταθερό ετήσιο εισόδημα, για παράδειγμα της τάξεως των 5.000 ευρώ, ενώ το 2008 εντάσσονταν στην κατηγορία των φτωχών, το 2019 δεν εξακολουθούν να </w:t>
      </w:r>
      <w:r w:rsidR="00074F40">
        <w:rPr>
          <w:rFonts w:ascii="Times New Roman" w:hAnsi="Times New Roman"/>
          <w:sz w:val="24"/>
          <w:szCs w:val="24"/>
          <w:lang w:val="el-GR"/>
        </w:rPr>
        <w:t xml:space="preserve">βρίσκονται </w:t>
      </w:r>
      <w:r w:rsidR="00074F40" w:rsidRPr="00074F40">
        <w:rPr>
          <w:rFonts w:ascii="Times New Roman" w:hAnsi="Times New Roman"/>
          <w:sz w:val="24"/>
          <w:szCs w:val="24"/>
          <w:lang w:val="el-GR"/>
        </w:rPr>
        <w:t>κάτω από το όριο της φτώχειας.</w:t>
      </w:r>
    </w:p>
    <w:p w14:paraId="5528EA7D" w14:textId="18A495EC" w:rsidR="005F5798" w:rsidRPr="005F5798" w:rsidRDefault="005F5798" w:rsidP="005F5798">
      <w:pPr>
        <w:pBdr>
          <w:top w:val="single" w:sz="4" w:space="1" w:color="auto"/>
          <w:left w:val="single" w:sz="4" w:space="4" w:color="auto"/>
          <w:bottom w:val="single" w:sz="4" w:space="1" w:color="auto"/>
          <w:right w:val="single" w:sz="4" w:space="4" w:color="auto"/>
        </w:pBdr>
        <w:shd w:val="clear" w:color="auto" w:fill="E7E6E6" w:themeFill="background2"/>
        <w:jc w:val="both"/>
        <w:rPr>
          <w:rFonts w:ascii="Times New Roman" w:hAnsi="Times New Roman"/>
          <w:sz w:val="24"/>
          <w:szCs w:val="24"/>
          <w:lang w:val="el-GR"/>
        </w:rPr>
      </w:pPr>
      <w:r w:rsidRPr="005F5798">
        <w:rPr>
          <w:rFonts w:ascii="Times New Roman" w:hAnsi="Times New Roman"/>
          <w:sz w:val="24"/>
          <w:szCs w:val="24"/>
          <w:lang w:val="el-GR"/>
        </w:rPr>
        <w:t xml:space="preserve">Οι σχετικά μικρές μεταβολές του δείκτη διαχρονικά, φανερώνουν τη μικρή ερμηνευτική του δύναμη αναφορικά με το φαινόμενο της </w:t>
      </w:r>
      <w:r w:rsidR="00D609F5">
        <w:rPr>
          <w:rFonts w:ascii="Times New Roman" w:hAnsi="Times New Roman"/>
          <w:sz w:val="24"/>
          <w:szCs w:val="24"/>
          <w:lang w:val="el-GR"/>
        </w:rPr>
        <w:t xml:space="preserve">πραγματικής </w:t>
      </w:r>
      <w:r w:rsidRPr="005F5798">
        <w:rPr>
          <w:rFonts w:ascii="Times New Roman" w:hAnsi="Times New Roman"/>
          <w:sz w:val="24"/>
          <w:szCs w:val="24"/>
          <w:lang w:val="el-GR"/>
        </w:rPr>
        <w:t>φτωχοπο</w:t>
      </w:r>
      <w:r w:rsidR="00D609F5">
        <w:rPr>
          <w:rFonts w:ascii="Times New Roman" w:hAnsi="Times New Roman"/>
          <w:sz w:val="24"/>
          <w:szCs w:val="24"/>
          <w:lang w:val="el-GR"/>
        </w:rPr>
        <w:t>ίησης του πληθυσμού της χώρας</w:t>
      </w:r>
      <w:r w:rsidR="008748D2">
        <w:rPr>
          <w:rFonts w:ascii="Times New Roman" w:hAnsi="Times New Roman"/>
          <w:sz w:val="24"/>
          <w:szCs w:val="24"/>
          <w:lang w:val="el-GR"/>
        </w:rPr>
        <w:t xml:space="preserve">. Επίσης </w:t>
      </w:r>
      <w:r w:rsidR="00451BC5">
        <w:rPr>
          <w:rFonts w:ascii="Times New Roman" w:hAnsi="Times New Roman"/>
          <w:sz w:val="24"/>
          <w:szCs w:val="24"/>
          <w:lang w:val="el-GR"/>
        </w:rPr>
        <w:t>ο</w:t>
      </w:r>
      <w:r w:rsidRPr="005F5798">
        <w:rPr>
          <w:rFonts w:ascii="Times New Roman" w:hAnsi="Times New Roman"/>
          <w:sz w:val="24"/>
          <w:szCs w:val="24"/>
          <w:lang w:val="el-GR"/>
        </w:rPr>
        <w:t xml:space="preserve"> δείκτης δεν λαμβάνει υπόψη την πραγματική αγοραστική δύναμη</w:t>
      </w:r>
      <w:r w:rsidRPr="00465ED6">
        <w:rPr>
          <w:rStyle w:val="a8"/>
          <w:rFonts w:ascii="Times New Roman" w:hAnsi="Times New Roman"/>
          <w:sz w:val="24"/>
          <w:szCs w:val="24"/>
        </w:rPr>
        <w:footnoteReference w:id="3"/>
      </w:r>
      <w:r w:rsidRPr="005F5798">
        <w:rPr>
          <w:rFonts w:ascii="Times New Roman" w:hAnsi="Times New Roman"/>
          <w:sz w:val="24"/>
          <w:szCs w:val="24"/>
          <w:lang w:val="el-GR"/>
        </w:rPr>
        <w:t xml:space="preserve"> και το κόστος διαβίωσης των ατόμων</w:t>
      </w:r>
      <w:r w:rsidR="00451BC5">
        <w:rPr>
          <w:rFonts w:ascii="Times New Roman" w:hAnsi="Times New Roman"/>
          <w:sz w:val="24"/>
          <w:szCs w:val="24"/>
          <w:lang w:val="el-GR"/>
        </w:rPr>
        <w:t xml:space="preserve">. </w:t>
      </w:r>
      <w:r w:rsidR="008748D2">
        <w:rPr>
          <w:rFonts w:ascii="Times New Roman" w:hAnsi="Times New Roman"/>
          <w:sz w:val="24"/>
          <w:szCs w:val="24"/>
          <w:lang w:val="el-GR"/>
        </w:rPr>
        <w:t xml:space="preserve">Για αυτούς τους λόγους, </w:t>
      </w:r>
      <w:r w:rsidRPr="005F5798">
        <w:rPr>
          <w:rFonts w:ascii="Times New Roman" w:hAnsi="Times New Roman"/>
          <w:sz w:val="24"/>
          <w:szCs w:val="24"/>
          <w:lang w:val="el-GR"/>
        </w:rPr>
        <w:t>ο σύνθετος δείκτης «Κίνδυνος φτώχειας και κοινωνικού αποκλεισμού» χρησιμοποιείται πλέον ως περισσότερο αντιπροσωπευτικός του φαινόμενου της φτώχειας.</w:t>
      </w:r>
    </w:p>
    <w:p w14:paraId="1DB8A9C2" w14:textId="23BE39A1" w:rsidR="005F5798" w:rsidRDefault="006A2B10" w:rsidP="005F5798">
      <w:pPr>
        <w:pBdr>
          <w:top w:val="single" w:sz="4" w:space="1" w:color="auto"/>
          <w:left w:val="single" w:sz="4" w:space="4" w:color="auto"/>
          <w:bottom w:val="single" w:sz="4" w:space="1" w:color="auto"/>
          <w:right w:val="single" w:sz="4" w:space="4" w:color="auto"/>
        </w:pBdr>
        <w:shd w:val="clear" w:color="auto" w:fill="E7E6E6" w:themeFill="background2"/>
        <w:jc w:val="both"/>
        <w:rPr>
          <w:rFonts w:ascii="Times New Roman" w:hAnsi="Times New Roman"/>
          <w:sz w:val="24"/>
          <w:szCs w:val="24"/>
          <w:lang w:val="el-GR"/>
        </w:rPr>
      </w:pPr>
      <w:r>
        <w:rPr>
          <w:rFonts w:ascii="Times New Roman" w:hAnsi="Times New Roman"/>
          <w:sz w:val="24"/>
          <w:szCs w:val="24"/>
          <w:lang w:val="el-GR"/>
        </w:rPr>
        <w:t xml:space="preserve">Επιπροσθέτως, </w:t>
      </w:r>
      <w:r w:rsidR="005F5798" w:rsidRPr="005F5798">
        <w:rPr>
          <w:rFonts w:ascii="Times New Roman" w:hAnsi="Times New Roman"/>
          <w:sz w:val="24"/>
          <w:szCs w:val="24"/>
          <w:lang w:val="el-GR"/>
        </w:rPr>
        <w:t>για τον π</w:t>
      </w:r>
      <w:r w:rsidR="006A6A2A">
        <w:rPr>
          <w:rFonts w:ascii="Times New Roman" w:hAnsi="Times New Roman"/>
          <w:sz w:val="24"/>
          <w:szCs w:val="24"/>
          <w:lang w:val="el-GR"/>
        </w:rPr>
        <w:t xml:space="preserve">ληθυσμό των ατόμων με αναπηρία </w:t>
      </w:r>
      <w:r w:rsidR="005F5798" w:rsidRPr="005F5798">
        <w:rPr>
          <w:rFonts w:ascii="Times New Roman" w:hAnsi="Times New Roman"/>
          <w:sz w:val="24"/>
          <w:szCs w:val="24"/>
          <w:lang w:val="el-GR"/>
        </w:rPr>
        <w:t xml:space="preserve">πρέπει να ληφθεί υπόψη ότι επωμίζονται συχνά ένα πρόσθετο κόστος διαβίωσης που απορρέει από την αναπηρία. Συνεπώς το γενικώς οριζόμενο κατώφλι φτώχειας είναι ακόμα λιγότερο έγκυρο ως μέτρο για την φτωχοποίηση αυτής της ομάδας του πληθυσμού, </w:t>
      </w:r>
      <w:r w:rsidR="00451BC5">
        <w:rPr>
          <w:rFonts w:ascii="Times New Roman" w:hAnsi="Times New Roman"/>
          <w:sz w:val="24"/>
          <w:szCs w:val="24"/>
          <w:lang w:val="el-GR"/>
        </w:rPr>
        <w:t xml:space="preserve">και ιδίως </w:t>
      </w:r>
      <w:r w:rsidR="005F5798" w:rsidRPr="005F5798">
        <w:rPr>
          <w:rFonts w:ascii="Times New Roman" w:hAnsi="Times New Roman"/>
          <w:sz w:val="24"/>
          <w:szCs w:val="24"/>
          <w:lang w:val="el-GR"/>
        </w:rPr>
        <w:t xml:space="preserve">στο βαθμό που δεν εξαιρούνται από το συνολικό εισόδημα τα επιδόματα αναπηρίας τα οποία δαπανώνται για την κάλυψη πρόσθετων αναγκών σε εξειδικευμένες υπηρεσίες και αγαθά. </w:t>
      </w:r>
    </w:p>
    <w:p w14:paraId="505543FA" w14:textId="77777777" w:rsidR="00451BC5" w:rsidRPr="005F5798" w:rsidRDefault="00451BC5" w:rsidP="005F5798">
      <w:pPr>
        <w:pBdr>
          <w:top w:val="single" w:sz="4" w:space="1" w:color="auto"/>
          <w:left w:val="single" w:sz="4" w:space="4" w:color="auto"/>
          <w:bottom w:val="single" w:sz="4" w:space="1" w:color="auto"/>
          <w:right w:val="single" w:sz="4" w:space="4" w:color="auto"/>
        </w:pBdr>
        <w:shd w:val="clear" w:color="auto" w:fill="E7E6E6" w:themeFill="background2"/>
        <w:jc w:val="both"/>
        <w:rPr>
          <w:rFonts w:ascii="Times New Roman" w:hAnsi="Times New Roman"/>
          <w:sz w:val="24"/>
          <w:szCs w:val="24"/>
          <w:lang w:val="el-GR"/>
        </w:rPr>
      </w:pPr>
      <w:r>
        <w:rPr>
          <w:rFonts w:ascii="Times New Roman" w:hAnsi="Times New Roman"/>
          <w:sz w:val="24"/>
          <w:szCs w:val="24"/>
          <w:lang w:val="el-GR"/>
        </w:rPr>
        <w:t xml:space="preserve">Συνεπώς ο δείκτης </w:t>
      </w:r>
      <w:r w:rsidR="00902A7C">
        <w:rPr>
          <w:rFonts w:ascii="Times New Roman" w:hAnsi="Times New Roman"/>
          <w:sz w:val="24"/>
          <w:szCs w:val="24"/>
          <w:lang w:val="el-GR"/>
        </w:rPr>
        <w:t xml:space="preserve">θα πρέπει να ερμηνεύεται </w:t>
      </w:r>
      <w:r w:rsidR="00480C39">
        <w:rPr>
          <w:rFonts w:ascii="Times New Roman" w:hAnsi="Times New Roman"/>
          <w:sz w:val="24"/>
          <w:szCs w:val="24"/>
          <w:lang w:val="el-GR"/>
        </w:rPr>
        <w:t xml:space="preserve">περισσότερο </w:t>
      </w:r>
      <w:r w:rsidR="00902A7C">
        <w:rPr>
          <w:rFonts w:ascii="Times New Roman" w:hAnsi="Times New Roman"/>
          <w:sz w:val="24"/>
          <w:szCs w:val="24"/>
          <w:lang w:val="el-GR"/>
        </w:rPr>
        <w:t>με όρους εισοδηματικής ανισότητας (</w:t>
      </w:r>
      <w:r>
        <w:rPr>
          <w:rFonts w:ascii="Times New Roman" w:hAnsi="Times New Roman"/>
          <w:sz w:val="24"/>
          <w:szCs w:val="24"/>
          <w:lang w:val="el-GR"/>
        </w:rPr>
        <w:t>σχετικής φτώχειας σε όρους ονομαστικού εισοδήματος) των διαφόρων κατηγοριών του πληθυσμο</w:t>
      </w:r>
      <w:r w:rsidR="00902A7C">
        <w:rPr>
          <w:rFonts w:ascii="Times New Roman" w:hAnsi="Times New Roman"/>
          <w:sz w:val="24"/>
          <w:szCs w:val="24"/>
          <w:lang w:val="el-GR"/>
        </w:rPr>
        <w:t>ύ</w:t>
      </w:r>
      <w:r w:rsidR="00480C39">
        <w:rPr>
          <w:rFonts w:ascii="Times New Roman" w:hAnsi="Times New Roman"/>
          <w:sz w:val="24"/>
          <w:szCs w:val="24"/>
          <w:lang w:val="el-GR"/>
        </w:rPr>
        <w:t>,</w:t>
      </w:r>
      <w:r w:rsidR="00902A7C">
        <w:rPr>
          <w:rFonts w:ascii="Times New Roman" w:hAnsi="Times New Roman"/>
          <w:sz w:val="24"/>
          <w:szCs w:val="24"/>
          <w:lang w:val="el-GR"/>
        </w:rPr>
        <w:t xml:space="preserve"> παρά ως ένδειξη της φτώχειας και των πραγματικών υλικών συνθηκών διαβίωσης. </w:t>
      </w:r>
    </w:p>
    <w:p w14:paraId="721DB91D" w14:textId="77777777" w:rsidR="00480C39" w:rsidRDefault="00480C39" w:rsidP="005F5798">
      <w:pPr>
        <w:jc w:val="both"/>
        <w:rPr>
          <w:rFonts w:ascii="Times New Roman" w:hAnsi="Times New Roman"/>
          <w:sz w:val="24"/>
          <w:szCs w:val="24"/>
          <w:lang w:val="el-GR"/>
        </w:rPr>
      </w:pPr>
    </w:p>
    <w:p w14:paraId="11DFF491" w14:textId="77777777" w:rsidR="002369C6" w:rsidRDefault="002369C6">
      <w:pPr>
        <w:rPr>
          <w:sz w:val="24"/>
          <w:szCs w:val="24"/>
          <w:lang w:val="el-GR"/>
        </w:rPr>
      </w:pPr>
      <w:r>
        <w:rPr>
          <w:sz w:val="24"/>
          <w:szCs w:val="24"/>
          <w:lang w:val="el-GR"/>
        </w:rPr>
        <w:br w:type="page"/>
      </w:r>
    </w:p>
    <w:p w14:paraId="1612562B" w14:textId="3AFCDE11" w:rsidR="006F6679" w:rsidRPr="00F55A5A" w:rsidRDefault="006F6679" w:rsidP="005F5798">
      <w:pPr>
        <w:jc w:val="both"/>
        <w:rPr>
          <w:sz w:val="24"/>
          <w:szCs w:val="24"/>
          <w:lang w:val="el-GR"/>
        </w:rPr>
      </w:pPr>
      <w:r w:rsidRPr="00F55A5A">
        <w:rPr>
          <w:sz w:val="24"/>
          <w:szCs w:val="24"/>
          <w:lang w:val="el-GR"/>
        </w:rPr>
        <w:lastRenderedPageBreak/>
        <w:t>Για το έτος 2018 που είναι το έτος αναφοράς για τις εισοδηματικές μεταβλητές της έρευνας, το κατώφλι της φτώχειας ανέρχεται στο ποσό των 4.917 ευρώ ετησίως ανά μονοπρόσωπο νοικοκυριό, και ορίζεται δε στο 60% του διάμεσου συνολικού ισοδύναμου διαθέσιμ</w:t>
      </w:r>
      <w:r w:rsidR="00237E8E" w:rsidRPr="00F55A5A">
        <w:rPr>
          <w:sz w:val="24"/>
          <w:szCs w:val="24"/>
          <w:lang w:val="el-GR"/>
        </w:rPr>
        <w:t>ου εισοδήματος των νοικοκυριών (</w:t>
      </w:r>
      <w:r w:rsidRPr="00F55A5A">
        <w:rPr>
          <w:sz w:val="24"/>
          <w:szCs w:val="24"/>
          <w:lang w:val="el-GR"/>
        </w:rPr>
        <w:t>το οποίο εκτιμήθηκε σε 8.195 ευρώ</w:t>
      </w:r>
      <w:r w:rsidR="00237E8E" w:rsidRPr="00F55A5A">
        <w:rPr>
          <w:sz w:val="24"/>
          <w:szCs w:val="24"/>
          <w:lang w:val="el-GR"/>
        </w:rPr>
        <w:t>)</w:t>
      </w:r>
      <w:r w:rsidR="00AE6505" w:rsidRPr="00F55A5A">
        <w:rPr>
          <w:rStyle w:val="a8"/>
          <w:sz w:val="24"/>
          <w:szCs w:val="24"/>
          <w:lang w:val="el-GR"/>
        </w:rPr>
        <w:footnoteReference w:id="4"/>
      </w:r>
      <w:r w:rsidRPr="00F55A5A">
        <w:rPr>
          <w:sz w:val="24"/>
          <w:szCs w:val="24"/>
          <w:lang w:val="el-GR"/>
        </w:rPr>
        <w:t xml:space="preserve">. </w:t>
      </w:r>
    </w:p>
    <w:p w14:paraId="58806917" w14:textId="77777777" w:rsidR="00444E74" w:rsidRPr="00F55A5A" w:rsidRDefault="00444E74" w:rsidP="005F5798">
      <w:pPr>
        <w:jc w:val="both"/>
        <w:rPr>
          <w:sz w:val="24"/>
          <w:szCs w:val="24"/>
          <w:lang w:val="el-GR"/>
        </w:rPr>
      </w:pPr>
      <w:r w:rsidRPr="00F55A5A">
        <w:rPr>
          <w:sz w:val="24"/>
          <w:szCs w:val="24"/>
          <w:lang w:val="el-GR"/>
        </w:rPr>
        <w:t xml:space="preserve">Στο γράφημα 5 απεικονίζεται ο </w:t>
      </w:r>
      <w:r w:rsidR="005F5798" w:rsidRPr="00F55A5A">
        <w:rPr>
          <w:sz w:val="24"/>
          <w:szCs w:val="24"/>
          <w:lang w:val="el-GR"/>
        </w:rPr>
        <w:t>δείκτη</w:t>
      </w:r>
      <w:r w:rsidRPr="00F55A5A">
        <w:rPr>
          <w:sz w:val="24"/>
          <w:szCs w:val="24"/>
          <w:lang w:val="el-GR"/>
        </w:rPr>
        <w:t>ς</w:t>
      </w:r>
      <w:r w:rsidR="005F5798" w:rsidRPr="00F55A5A">
        <w:rPr>
          <w:sz w:val="24"/>
          <w:szCs w:val="24"/>
          <w:lang w:val="el-GR"/>
        </w:rPr>
        <w:t xml:space="preserve"> κινδύνου φτώχειας μετά τις κοινωνικές μεταβιβάσεις</w:t>
      </w:r>
      <w:r w:rsidR="005F5798" w:rsidRPr="00F55A5A">
        <w:rPr>
          <w:rStyle w:val="a8"/>
          <w:sz w:val="24"/>
          <w:szCs w:val="24"/>
        </w:rPr>
        <w:footnoteReference w:id="5"/>
      </w:r>
      <w:r w:rsidRPr="00F55A5A">
        <w:rPr>
          <w:sz w:val="24"/>
          <w:szCs w:val="24"/>
          <w:lang w:val="el-GR"/>
        </w:rPr>
        <w:t xml:space="preserve">, </w:t>
      </w:r>
      <w:r w:rsidR="005F5798" w:rsidRPr="00F55A5A">
        <w:rPr>
          <w:sz w:val="24"/>
          <w:szCs w:val="24"/>
          <w:lang w:val="el-GR"/>
        </w:rPr>
        <w:t>συμπεριλαμβάνοντας δηλαδή στο εισόδημα των νοικοκυριών τα κοινωνικά επιδόματα κ</w:t>
      </w:r>
      <w:r w:rsidRPr="00F55A5A">
        <w:rPr>
          <w:sz w:val="24"/>
          <w:szCs w:val="24"/>
          <w:lang w:val="el-GR"/>
        </w:rPr>
        <w:t>αι ενισχύσεις και τις συντάξεις</w:t>
      </w:r>
      <w:r w:rsidR="005F5798" w:rsidRPr="00F55A5A">
        <w:rPr>
          <w:sz w:val="24"/>
          <w:szCs w:val="24"/>
          <w:lang w:val="el-GR"/>
        </w:rPr>
        <w:t xml:space="preserve">,  ανά ηλικιακή </w:t>
      </w:r>
      <w:r w:rsidRPr="00F55A5A">
        <w:rPr>
          <w:sz w:val="24"/>
          <w:szCs w:val="24"/>
          <w:lang w:val="el-GR"/>
        </w:rPr>
        <w:t>ομάδα και κατάσταση αναπηρίας.</w:t>
      </w:r>
    </w:p>
    <w:p w14:paraId="514C7D68" w14:textId="77777777" w:rsidR="00444E74" w:rsidRPr="00F55A5A" w:rsidRDefault="00444E74" w:rsidP="005F5798">
      <w:pPr>
        <w:jc w:val="both"/>
        <w:rPr>
          <w:sz w:val="24"/>
          <w:szCs w:val="24"/>
          <w:lang w:val="el-GR"/>
        </w:rPr>
      </w:pPr>
      <w:r w:rsidRPr="00F55A5A">
        <w:rPr>
          <w:sz w:val="24"/>
          <w:szCs w:val="24"/>
          <w:lang w:val="el-GR"/>
        </w:rPr>
        <w:t xml:space="preserve">Σε όλες τις ηλικιακές ομάδες διαπιστώνεται ότι ο κίνδυνος φτώχειας είναι υψηλότερος στα άτομα με αναπηρία σε σύγκριση με τα άτομα χωρίς αναπηρίας. </w:t>
      </w:r>
    </w:p>
    <w:p w14:paraId="7E73E7C1" w14:textId="77777777" w:rsidR="00444E74" w:rsidRPr="00F55A5A" w:rsidRDefault="00444E74" w:rsidP="00444E74">
      <w:pPr>
        <w:rPr>
          <w:sz w:val="24"/>
          <w:szCs w:val="24"/>
          <w:lang w:val="el-GR"/>
        </w:rPr>
      </w:pPr>
      <w:r w:rsidRPr="00F55A5A">
        <w:rPr>
          <w:sz w:val="24"/>
          <w:szCs w:val="24"/>
          <w:lang w:val="el-GR"/>
        </w:rPr>
        <w:t xml:space="preserve">Ειδικότερα, σε κίνδυνο φτώχειας βρίσκεται: </w:t>
      </w:r>
    </w:p>
    <w:p w14:paraId="3F8EC34F" w14:textId="77777777" w:rsidR="00444E74" w:rsidRPr="00F55A5A" w:rsidRDefault="00444E74" w:rsidP="00444E74">
      <w:pPr>
        <w:pStyle w:val="a9"/>
        <w:numPr>
          <w:ilvl w:val="0"/>
          <w:numId w:val="12"/>
        </w:numPr>
        <w:jc w:val="both"/>
        <w:rPr>
          <w:sz w:val="24"/>
          <w:szCs w:val="24"/>
          <w:lang w:val="el-GR"/>
        </w:rPr>
      </w:pPr>
      <w:r w:rsidRPr="00F55A5A">
        <w:rPr>
          <w:sz w:val="24"/>
          <w:szCs w:val="24"/>
          <w:lang w:val="el-GR"/>
        </w:rPr>
        <w:t>Το 30,7% του πληθυσμού με αναπηρία 25-34 ετών (έναντι του 17,1% του πληθυσμού χωρίς αναπηρία),</w:t>
      </w:r>
    </w:p>
    <w:p w14:paraId="62E792A0" w14:textId="77777777" w:rsidR="00444E74" w:rsidRPr="00F55A5A" w:rsidRDefault="00444E74" w:rsidP="00444E74">
      <w:pPr>
        <w:pStyle w:val="a9"/>
        <w:numPr>
          <w:ilvl w:val="0"/>
          <w:numId w:val="12"/>
        </w:numPr>
        <w:jc w:val="both"/>
        <w:rPr>
          <w:sz w:val="24"/>
          <w:szCs w:val="24"/>
          <w:lang w:val="el-GR"/>
        </w:rPr>
      </w:pPr>
      <w:r w:rsidRPr="00F55A5A">
        <w:rPr>
          <w:sz w:val="24"/>
          <w:szCs w:val="24"/>
          <w:lang w:val="el-GR"/>
        </w:rPr>
        <w:t>Το 25,3% του πληθυσμού με αναπηρία 35-44 ετών (έναντι του 16,4% του πληθυσμού χωρίς αναπηρία),</w:t>
      </w:r>
    </w:p>
    <w:p w14:paraId="68F0F7AA" w14:textId="77777777" w:rsidR="00444E74" w:rsidRPr="00F55A5A" w:rsidRDefault="00444E74" w:rsidP="00444E74">
      <w:pPr>
        <w:pStyle w:val="a9"/>
        <w:numPr>
          <w:ilvl w:val="0"/>
          <w:numId w:val="12"/>
        </w:numPr>
        <w:jc w:val="both"/>
        <w:rPr>
          <w:sz w:val="24"/>
          <w:szCs w:val="24"/>
          <w:lang w:val="el-GR"/>
        </w:rPr>
      </w:pPr>
      <w:r w:rsidRPr="00F55A5A">
        <w:rPr>
          <w:sz w:val="24"/>
          <w:szCs w:val="24"/>
          <w:lang w:val="el-GR"/>
        </w:rPr>
        <w:t>Το 24,6% του πληθυσμού με αναπηρία 45-54 ετών (έναντι του 17,5% του πληθυσμού χωρίς αναπηρία),</w:t>
      </w:r>
    </w:p>
    <w:p w14:paraId="7F5A120A" w14:textId="77777777" w:rsidR="00444E74" w:rsidRPr="00F55A5A" w:rsidRDefault="00444E74" w:rsidP="00444E74">
      <w:pPr>
        <w:pStyle w:val="a9"/>
        <w:numPr>
          <w:ilvl w:val="0"/>
          <w:numId w:val="12"/>
        </w:numPr>
        <w:jc w:val="both"/>
        <w:rPr>
          <w:sz w:val="24"/>
          <w:szCs w:val="24"/>
          <w:lang w:val="el-GR"/>
        </w:rPr>
      </w:pPr>
      <w:r w:rsidRPr="00F55A5A">
        <w:rPr>
          <w:sz w:val="24"/>
          <w:szCs w:val="24"/>
          <w:lang w:val="el-GR"/>
        </w:rPr>
        <w:t>Το 24,3% του πληθυσμού με αναπηρία 55-64 ετών (έναντι του 16,7% του πληθυσμού χωρίς αναπηρία).</w:t>
      </w:r>
    </w:p>
    <w:p w14:paraId="3D730F4E" w14:textId="77777777" w:rsidR="00444E74" w:rsidRPr="00F55A5A" w:rsidRDefault="00444E74" w:rsidP="005F5798">
      <w:pPr>
        <w:jc w:val="both"/>
        <w:rPr>
          <w:sz w:val="24"/>
          <w:szCs w:val="24"/>
          <w:lang w:val="el-GR"/>
        </w:rPr>
      </w:pPr>
    </w:p>
    <w:p w14:paraId="021EFEFA" w14:textId="0F8D995D" w:rsidR="005F5798" w:rsidRPr="00237E8E" w:rsidRDefault="005F5798" w:rsidP="00237E8E">
      <w:pPr>
        <w:pStyle w:val="10"/>
        <w:ind w:left="851" w:right="651"/>
        <w:rPr>
          <w:b/>
          <w:sz w:val="24"/>
          <w:szCs w:val="24"/>
          <w:lang w:val="el-GR"/>
        </w:rPr>
      </w:pPr>
      <w:bookmarkStart w:id="7" w:name="_Toc59179443"/>
      <w:r w:rsidRPr="00237E8E">
        <w:rPr>
          <w:b/>
          <w:sz w:val="24"/>
          <w:szCs w:val="24"/>
          <w:lang w:val="el-GR"/>
        </w:rPr>
        <w:lastRenderedPageBreak/>
        <w:t xml:space="preserve">Γράφημα </w:t>
      </w:r>
      <w:r w:rsidR="0084626E">
        <w:rPr>
          <w:b/>
          <w:sz w:val="24"/>
          <w:szCs w:val="24"/>
          <w:lang w:val="el-GR"/>
        </w:rPr>
        <w:fldChar w:fldCharType="begin"/>
      </w:r>
      <w:r w:rsidR="006634A5">
        <w:rPr>
          <w:b/>
          <w:sz w:val="24"/>
          <w:szCs w:val="24"/>
          <w:lang w:val="el-GR"/>
        </w:rPr>
        <w:instrText xml:space="preserve"> SEQ Γράφημα \* ARABIC </w:instrText>
      </w:r>
      <w:r w:rsidR="0084626E">
        <w:rPr>
          <w:b/>
          <w:sz w:val="24"/>
          <w:szCs w:val="24"/>
          <w:lang w:val="el-GR"/>
        </w:rPr>
        <w:fldChar w:fldCharType="separate"/>
      </w:r>
      <w:r w:rsidR="00DA4DF6">
        <w:rPr>
          <w:b/>
          <w:noProof/>
          <w:sz w:val="24"/>
          <w:szCs w:val="24"/>
          <w:lang w:val="el-GR"/>
        </w:rPr>
        <w:t>5</w:t>
      </w:r>
      <w:r w:rsidR="0084626E">
        <w:rPr>
          <w:b/>
          <w:sz w:val="24"/>
          <w:szCs w:val="24"/>
          <w:lang w:val="el-GR"/>
        </w:rPr>
        <w:fldChar w:fldCharType="end"/>
      </w:r>
      <w:r w:rsidRPr="00237E8E">
        <w:rPr>
          <w:b/>
          <w:sz w:val="24"/>
          <w:szCs w:val="24"/>
          <w:lang w:val="el-GR"/>
        </w:rPr>
        <w:t>: Κίνδυνος φτώχειας μετά τις κοινωνικές μεταβιβάσεις κατά ηλικιακή ομάδα και κατάσταση αναπηρίας (Σοβαρή &amp; μέτρια αναπηρία/χωρίς αναπηρία) το 2019</w:t>
      </w:r>
      <w:bookmarkEnd w:id="7"/>
    </w:p>
    <w:p w14:paraId="7A2875EA" w14:textId="77777777" w:rsidR="00450210" w:rsidRDefault="005F5798" w:rsidP="00450210">
      <w:pPr>
        <w:keepNext/>
        <w:ind w:left="567"/>
      </w:pPr>
      <w:r w:rsidRPr="008F2919">
        <w:rPr>
          <w:rFonts w:ascii="Times New Roman" w:hAnsi="Times New Roman"/>
          <w:b/>
          <w:noProof/>
          <w:color w:val="FF0000"/>
          <w:sz w:val="24"/>
          <w:szCs w:val="24"/>
          <w:lang w:val="el-GR" w:eastAsia="el-GR"/>
        </w:rPr>
        <w:drawing>
          <wp:inline distT="0" distB="0" distL="0" distR="0" wp14:anchorId="307E3803" wp14:editId="17EEB262">
            <wp:extent cx="5321593" cy="2681654"/>
            <wp:effectExtent l="0" t="0" r="0" b="4445"/>
            <wp:docPr id="10" name="Γράφημα 3" descr="16-24 ετών: 29,6 σοβαρή και μέτρια αναπηρία και 25,8 χωρίς αναπηρία.&#10;25-34 ετών: 30,7 σοβαρή και μέτρια αναπηρία και 17,1 χωρίς αναπηρία.&#10;35-44 ετών: 25,3 σοβαρή και μέτρια αναπηρία και 16,4 χωρίς αναπηρία.&#10;45-54 ετών: 24,6 σοβαρή και μέτρια αναπηρία και 17,5 χωρίς αναπηρία.&#10;55-64 ετών: 24,3 σοβαρή και μέτρια αναπηρία και 16,7 χωρίς αναπηρία.&#10;65+ ετών: 13,9 σοβαρή και μέτρια αναπηρία και 9,4 χωρίς αναπηρία."/>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407B95" w14:textId="77777777" w:rsidR="00450210" w:rsidRPr="006B62F0" w:rsidRDefault="00450210" w:rsidP="00450210">
      <w:pPr>
        <w:pStyle w:val="aa"/>
        <w:ind w:left="851"/>
        <w:jc w:val="both"/>
        <w:rPr>
          <w:rFonts w:ascii="Constantia" w:eastAsia="Georgia" w:hAnsi="Constantia" w:cstheme="majorHAnsi"/>
          <w:bCs/>
          <w:sz w:val="24"/>
          <w:szCs w:val="24"/>
        </w:rPr>
      </w:pPr>
      <w:r w:rsidRPr="006B62F0">
        <w:rPr>
          <w:lang w:val="el-GR"/>
        </w:rPr>
        <w:t>Πηγή</w:t>
      </w:r>
      <w:r w:rsidRPr="006B62F0">
        <w:t xml:space="preserve"> </w:t>
      </w:r>
      <w:r w:rsidRPr="006B62F0">
        <w:rPr>
          <w:lang w:val="el-GR"/>
        </w:rPr>
        <w:t>δεδομένων</w:t>
      </w:r>
      <w:r w:rsidRPr="006B62F0">
        <w:t xml:space="preserve">: </w:t>
      </w:r>
      <w:r>
        <w:t>Eurostat database, EU-SILC (</w:t>
      </w:r>
      <w:r w:rsidRPr="006B62F0">
        <w:t>Statistics on Income and Living Conditions</w:t>
      </w:r>
      <w:r>
        <w:t>)</w:t>
      </w:r>
    </w:p>
    <w:p w14:paraId="2DD1F15A" w14:textId="77777777" w:rsidR="00237E8E" w:rsidRPr="00450210" w:rsidRDefault="00237E8E" w:rsidP="005F5798">
      <w:pPr>
        <w:rPr>
          <w:rFonts w:ascii="Times New Roman" w:hAnsi="Times New Roman"/>
          <w:sz w:val="24"/>
          <w:szCs w:val="24"/>
        </w:rPr>
      </w:pPr>
    </w:p>
    <w:p w14:paraId="6A24C4A9" w14:textId="77777777" w:rsidR="00450210" w:rsidRPr="005F4B26" w:rsidRDefault="00450210" w:rsidP="00450210">
      <w:pPr>
        <w:jc w:val="both"/>
        <w:rPr>
          <w:sz w:val="24"/>
          <w:szCs w:val="24"/>
          <w:lang w:val="el-GR"/>
        </w:rPr>
      </w:pPr>
      <w:r w:rsidRPr="005F4B26">
        <w:rPr>
          <w:sz w:val="24"/>
          <w:szCs w:val="24"/>
          <w:lang w:val="el-GR"/>
        </w:rPr>
        <w:t xml:space="preserve">Γίνεται φανερό ότι το χάσμα της φτώχειας, δηλαδή η διαφορά στο ποσοστό φτώχειας μεταξύ των ατόμων με αναπηρία και των ατόμων χωρίς αναπηρία, είναι περισσότερο σοβαρό στις ηλικίες 25-64 ετών. </w:t>
      </w:r>
    </w:p>
    <w:p w14:paraId="1F9985BA" w14:textId="77777777" w:rsidR="00450210" w:rsidRPr="005F4B26" w:rsidRDefault="00450210" w:rsidP="00450210">
      <w:pPr>
        <w:jc w:val="both"/>
        <w:rPr>
          <w:sz w:val="24"/>
          <w:szCs w:val="24"/>
          <w:lang w:val="el-GR"/>
        </w:rPr>
      </w:pPr>
      <w:r w:rsidRPr="005F4B26">
        <w:rPr>
          <w:sz w:val="24"/>
          <w:szCs w:val="24"/>
          <w:lang w:val="el-GR"/>
        </w:rPr>
        <w:t xml:space="preserve">Έχει ωστόσο ενδιαφέρον να εξετάσουμε την διαχρονική εξέλιξη του δείκτη κινδύνου φτώχειας μετά τις κοινωνικές μεταβιβάσεις, καθώς αποτυπώνει την μεταβολή των εισοδηματικών ανισοτήτων. Στο παρακάτω γράφημα αποτυπώνεται συνδυαστικά η εξέλιξη του δείκτη για τα άτομα με σοβαρή αναπηρία και τα άτομα χωρίς αναπηρία ηλικίας 16-64 ετών. </w:t>
      </w:r>
    </w:p>
    <w:p w14:paraId="5FABED7C" w14:textId="2C357301" w:rsidR="00450210" w:rsidRPr="00450210" w:rsidRDefault="00450210" w:rsidP="00450210">
      <w:pPr>
        <w:pStyle w:val="10"/>
        <w:ind w:left="284" w:right="651"/>
        <w:rPr>
          <w:b/>
          <w:sz w:val="24"/>
          <w:szCs w:val="24"/>
          <w:lang w:val="el-GR"/>
        </w:rPr>
      </w:pPr>
      <w:bookmarkStart w:id="8" w:name="_Toc59179444"/>
      <w:r w:rsidRPr="005F5798">
        <w:rPr>
          <w:b/>
          <w:sz w:val="24"/>
          <w:szCs w:val="24"/>
          <w:lang w:val="el-GR"/>
        </w:rPr>
        <w:lastRenderedPageBreak/>
        <w:t xml:space="preserve">Γράφημα </w:t>
      </w:r>
      <w:r w:rsidR="0084626E">
        <w:rPr>
          <w:b/>
          <w:sz w:val="24"/>
          <w:szCs w:val="24"/>
          <w:lang w:val="el-GR"/>
        </w:rPr>
        <w:fldChar w:fldCharType="begin"/>
      </w:r>
      <w:r w:rsidR="006634A5">
        <w:rPr>
          <w:b/>
          <w:sz w:val="24"/>
          <w:szCs w:val="24"/>
          <w:lang w:val="el-GR"/>
        </w:rPr>
        <w:instrText xml:space="preserve"> SEQ Γράφημα \* ARABIC </w:instrText>
      </w:r>
      <w:r w:rsidR="0084626E">
        <w:rPr>
          <w:b/>
          <w:sz w:val="24"/>
          <w:szCs w:val="24"/>
          <w:lang w:val="el-GR"/>
        </w:rPr>
        <w:fldChar w:fldCharType="separate"/>
      </w:r>
      <w:r w:rsidR="00DA4DF6">
        <w:rPr>
          <w:b/>
          <w:noProof/>
          <w:sz w:val="24"/>
          <w:szCs w:val="24"/>
          <w:lang w:val="el-GR"/>
        </w:rPr>
        <w:t>6</w:t>
      </w:r>
      <w:r w:rsidR="0084626E">
        <w:rPr>
          <w:b/>
          <w:sz w:val="24"/>
          <w:szCs w:val="24"/>
          <w:lang w:val="el-GR"/>
        </w:rPr>
        <w:fldChar w:fldCharType="end"/>
      </w:r>
      <w:r w:rsidRPr="005F5798">
        <w:rPr>
          <w:b/>
          <w:sz w:val="24"/>
          <w:szCs w:val="24"/>
          <w:lang w:val="el-GR"/>
        </w:rPr>
        <w:t>: Διαχρονική εξέλιξη του ποσοστού πληθυσμού (16-64 ετών) σε κίνδυνο φτώχειας και κατάσταση αναπηρίας (Σοβαρή αναπηρία/χωρίς αναπηρία)</w:t>
      </w:r>
      <w:bookmarkEnd w:id="8"/>
    </w:p>
    <w:p w14:paraId="61C2A1BC" w14:textId="77777777" w:rsidR="00450210" w:rsidRPr="00D34ABE" w:rsidRDefault="00450210" w:rsidP="00450210">
      <w:pPr>
        <w:ind w:left="284"/>
      </w:pPr>
      <w:r w:rsidRPr="00DB70EB">
        <w:rPr>
          <w:noProof/>
          <w:color w:val="FF0000"/>
          <w:lang w:val="el-GR" w:eastAsia="el-GR"/>
        </w:rPr>
        <w:drawing>
          <wp:inline distT="0" distB="0" distL="0" distR="0" wp14:anchorId="6FD0D1E2" wp14:editId="65F594A8">
            <wp:extent cx="5183041" cy="3211926"/>
            <wp:effectExtent l="0" t="0" r="0" b="7620"/>
            <wp:docPr id="1" name="Γράφημα 5" descr="2010: σοβαρή αναπηρία 24,8 και χωρίς αναπηρία 18,7. &#10;2011: σοβαρή αναπηρία 34 και χωρίς αναπηρία 19,3. &#10;2012: σοβαρή αναπηρία 34,5 και χωρίς αναπηρία 23,5. &#10;2013: σοβαρή αναπηρία 31,3 και χωρίς αναπηρία 23,2. &#10;2014: σοβαρή αναπηρία 29,5 και χωρίς αναπηρία 23,2. &#10;2015: σοβαρή αναπηρία 27,9 και χωρίς αναπηρία 21,9. &#10;2016: σοβαρή αναπηρία 24,8 και χωρίς αναπηρία 22,3. &#10;2017: σοβαρή αναπηρία 29,4 και χωρίς αναπηρία 20,9. &#10;2018: σοβαρή αναπηρία 29,1 και χωρίς αναπηρία 19,2. &#10;2019: σοβαρή αναπηρία 26,9 και χωρίς αναπηρία 1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C39486" w14:textId="77777777" w:rsidR="00450210" w:rsidRPr="006B62F0" w:rsidRDefault="00450210" w:rsidP="00450210">
      <w:pPr>
        <w:pStyle w:val="aa"/>
        <w:ind w:left="851"/>
        <w:jc w:val="both"/>
        <w:rPr>
          <w:rFonts w:ascii="Constantia" w:eastAsia="Georgia" w:hAnsi="Constantia" w:cstheme="majorHAnsi"/>
          <w:bCs/>
          <w:sz w:val="24"/>
          <w:szCs w:val="24"/>
        </w:rPr>
      </w:pPr>
      <w:r w:rsidRPr="006B62F0">
        <w:rPr>
          <w:lang w:val="el-GR"/>
        </w:rPr>
        <w:t>Πηγή</w:t>
      </w:r>
      <w:r w:rsidRPr="006B62F0">
        <w:t xml:space="preserve"> </w:t>
      </w:r>
      <w:r w:rsidRPr="006B62F0">
        <w:rPr>
          <w:lang w:val="el-GR"/>
        </w:rPr>
        <w:t>δεδομένων</w:t>
      </w:r>
      <w:r w:rsidRPr="006B62F0">
        <w:t xml:space="preserve">: </w:t>
      </w:r>
      <w:r>
        <w:t>Eurostat database, EU-SILC (</w:t>
      </w:r>
      <w:r w:rsidRPr="006B62F0">
        <w:t>Statistics on Income and Living Conditions</w:t>
      </w:r>
      <w:r>
        <w:t>)</w:t>
      </w:r>
    </w:p>
    <w:p w14:paraId="24258963" w14:textId="77777777" w:rsidR="00450210" w:rsidRPr="00450210" w:rsidRDefault="00450210" w:rsidP="00450210">
      <w:pPr>
        <w:jc w:val="both"/>
        <w:rPr>
          <w:rFonts w:ascii="Times New Roman" w:hAnsi="Times New Roman"/>
          <w:sz w:val="24"/>
          <w:szCs w:val="24"/>
        </w:rPr>
      </w:pPr>
    </w:p>
    <w:p w14:paraId="4F1450FD" w14:textId="77777777" w:rsidR="00450210" w:rsidRPr="00450210" w:rsidRDefault="00450210" w:rsidP="00450210">
      <w:pPr>
        <w:jc w:val="both"/>
        <w:rPr>
          <w:rFonts w:ascii="Times New Roman" w:hAnsi="Times New Roman"/>
          <w:sz w:val="24"/>
          <w:szCs w:val="24"/>
          <w:lang w:val="el-GR"/>
        </w:rPr>
      </w:pPr>
      <w:r w:rsidRPr="00450210">
        <w:rPr>
          <w:rFonts w:ascii="Times New Roman" w:hAnsi="Times New Roman"/>
          <w:sz w:val="24"/>
          <w:szCs w:val="24"/>
          <w:lang w:val="el-GR"/>
        </w:rPr>
        <w:t xml:space="preserve">Ένα βασικό συμπέρασμα που προκύπτει από τα δεδομένα είναι ότι </w:t>
      </w:r>
      <w:r w:rsidR="00FE194D">
        <w:rPr>
          <w:rFonts w:ascii="Times New Roman" w:hAnsi="Times New Roman"/>
          <w:sz w:val="24"/>
          <w:szCs w:val="24"/>
          <w:lang w:val="el-GR"/>
        </w:rPr>
        <w:t xml:space="preserve">όπως και στην εξέλιξη του σύνθετου δείκτη, </w:t>
      </w:r>
      <w:r w:rsidRPr="00450210">
        <w:rPr>
          <w:rFonts w:ascii="Times New Roman" w:hAnsi="Times New Roman"/>
          <w:sz w:val="24"/>
          <w:szCs w:val="24"/>
          <w:lang w:val="el-GR"/>
        </w:rPr>
        <w:t>κατά τα έτη 2012-2016 διαπιστώνεται άμβλυνση της ανισότητας ως αποτέλεσμα της συνολικής φτωχοποίησης του ελληνικού πληθυσμού και της προς τα κάτω συμπίεσης της γραμμής της φτώχειας</w:t>
      </w:r>
      <w:r w:rsidRPr="00FE194D">
        <w:rPr>
          <w:rFonts w:ascii="Times New Roman" w:hAnsi="Times New Roman"/>
          <w:sz w:val="24"/>
          <w:szCs w:val="24"/>
          <w:lang w:val="el-GR"/>
        </w:rPr>
        <w:t xml:space="preserve">. Μετά το 2016 όπου </w:t>
      </w:r>
      <w:r w:rsidR="00DE5CA1" w:rsidRPr="00FE194D">
        <w:rPr>
          <w:rFonts w:ascii="Times New Roman" w:hAnsi="Times New Roman"/>
          <w:sz w:val="24"/>
          <w:szCs w:val="24"/>
          <w:lang w:val="el-GR"/>
        </w:rPr>
        <w:t>ξεκινάει να καταγράφεται μια σταθερή</w:t>
      </w:r>
      <w:r w:rsidRPr="00FE194D">
        <w:rPr>
          <w:rFonts w:ascii="Times New Roman" w:hAnsi="Times New Roman"/>
          <w:sz w:val="24"/>
          <w:szCs w:val="24"/>
          <w:lang w:val="el-GR"/>
        </w:rPr>
        <w:t xml:space="preserve"> αύξηση του μέσου διαθέσιμου εισοδήματος των πολιτών</w:t>
      </w:r>
      <w:r w:rsidRPr="00FE194D">
        <w:rPr>
          <w:vertAlign w:val="superscript"/>
          <w:lang w:val="el-GR"/>
        </w:rPr>
        <w:footnoteReference w:id="6"/>
      </w:r>
      <w:r w:rsidR="00FE194D" w:rsidRPr="00FE194D">
        <w:rPr>
          <w:rFonts w:ascii="Times New Roman" w:hAnsi="Times New Roman"/>
          <w:sz w:val="24"/>
          <w:szCs w:val="24"/>
          <w:lang w:val="el-GR"/>
        </w:rPr>
        <w:t xml:space="preserve">, </w:t>
      </w:r>
      <w:r w:rsidRPr="00FE194D">
        <w:rPr>
          <w:rFonts w:ascii="Times New Roman" w:hAnsi="Times New Roman"/>
          <w:sz w:val="24"/>
          <w:szCs w:val="24"/>
          <w:lang w:val="el-GR"/>
        </w:rPr>
        <w:t xml:space="preserve">το χάσμα κινδύνου φτώχειας μεταξύ των ατόμων με σοβαρή και χωρίς αναπηρία διευρύνεται </w:t>
      </w:r>
      <w:r w:rsidR="00DE5CA1" w:rsidRPr="00FE194D">
        <w:rPr>
          <w:rFonts w:ascii="Times New Roman" w:hAnsi="Times New Roman"/>
          <w:sz w:val="24"/>
          <w:szCs w:val="24"/>
          <w:lang w:val="el-GR"/>
        </w:rPr>
        <w:t>εκ νέου</w:t>
      </w:r>
      <w:r w:rsidRPr="00FE194D">
        <w:rPr>
          <w:rFonts w:ascii="Times New Roman" w:hAnsi="Times New Roman"/>
          <w:sz w:val="24"/>
          <w:szCs w:val="24"/>
          <w:lang w:val="el-GR"/>
        </w:rPr>
        <w:t>.</w:t>
      </w:r>
      <w:r w:rsidRPr="00450210">
        <w:rPr>
          <w:rFonts w:ascii="Times New Roman" w:hAnsi="Times New Roman"/>
          <w:sz w:val="24"/>
          <w:szCs w:val="24"/>
          <w:lang w:val="el-GR"/>
        </w:rPr>
        <w:t xml:space="preserve"> </w:t>
      </w:r>
    </w:p>
    <w:p w14:paraId="5973E954" w14:textId="77777777" w:rsidR="005F5798" w:rsidRPr="005F5798" w:rsidRDefault="00C2773E" w:rsidP="005F5798">
      <w:pPr>
        <w:jc w:val="both"/>
        <w:rPr>
          <w:rFonts w:ascii="Times New Roman" w:hAnsi="Times New Roman"/>
          <w:sz w:val="24"/>
          <w:szCs w:val="24"/>
          <w:lang w:val="el-GR"/>
        </w:rPr>
      </w:pPr>
      <w:r>
        <w:rPr>
          <w:rFonts w:ascii="Times New Roman" w:hAnsi="Times New Roman"/>
          <w:sz w:val="24"/>
          <w:szCs w:val="24"/>
          <w:lang w:val="el-GR"/>
        </w:rPr>
        <w:t xml:space="preserve">Αυτή η εξέλιξη υποδεικνύει τις δομικές ανισότητες που αντιμετωπίζουν τα άτομα με αναπηρία οι οποίες γίνονται επίσης φανερές υπολογίζοντας τον δείκτη φτώχειας πριν τις κοινωνικές μεταβιβάσεις, </w:t>
      </w:r>
      <w:r w:rsidR="005F5798" w:rsidRPr="005F5798">
        <w:rPr>
          <w:rFonts w:ascii="Times New Roman" w:hAnsi="Times New Roman"/>
          <w:sz w:val="24"/>
          <w:szCs w:val="24"/>
          <w:lang w:val="el-GR"/>
        </w:rPr>
        <w:t>χωρίς δηλαδή να περιλαμβάνονται στο εισόδημα τα κοινωνικά επιδόματα και οι συντάξεις στο</w:t>
      </w:r>
      <w:r w:rsidR="00450210">
        <w:rPr>
          <w:rFonts w:ascii="Times New Roman" w:hAnsi="Times New Roman"/>
          <w:sz w:val="24"/>
          <w:szCs w:val="24"/>
          <w:lang w:val="el-GR"/>
        </w:rPr>
        <w:t xml:space="preserve"> διαθ</w:t>
      </w:r>
      <w:r w:rsidR="00B7729E">
        <w:rPr>
          <w:rFonts w:ascii="Times New Roman" w:hAnsi="Times New Roman"/>
          <w:sz w:val="24"/>
          <w:szCs w:val="24"/>
          <w:lang w:val="el-GR"/>
        </w:rPr>
        <w:t>έσιμο εισόδημα.</w:t>
      </w:r>
    </w:p>
    <w:p w14:paraId="4ECB192D" w14:textId="54E1D1FE" w:rsidR="005F5798" w:rsidRPr="00450210" w:rsidRDefault="005F5798" w:rsidP="00450210">
      <w:pPr>
        <w:pStyle w:val="10"/>
        <w:ind w:left="284" w:right="651"/>
        <w:rPr>
          <w:b/>
          <w:sz w:val="24"/>
          <w:szCs w:val="24"/>
          <w:lang w:val="el-GR"/>
        </w:rPr>
      </w:pPr>
      <w:bookmarkStart w:id="9" w:name="_Toc59179445"/>
      <w:r w:rsidRPr="00450210">
        <w:rPr>
          <w:b/>
          <w:sz w:val="24"/>
          <w:szCs w:val="24"/>
          <w:lang w:val="el-GR"/>
        </w:rPr>
        <w:lastRenderedPageBreak/>
        <w:t xml:space="preserve">Γράφημα </w:t>
      </w:r>
      <w:r w:rsidR="0084626E">
        <w:rPr>
          <w:b/>
          <w:sz w:val="24"/>
          <w:szCs w:val="24"/>
          <w:lang w:val="el-GR"/>
        </w:rPr>
        <w:fldChar w:fldCharType="begin"/>
      </w:r>
      <w:r w:rsidR="006634A5">
        <w:rPr>
          <w:b/>
          <w:sz w:val="24"/>
          <w:szCs w:val="24"/>
          <w:lang w:val="el-GR"/>
        </w:rPr>
        <w:instrText xml:space="preserve"> SEQ Γράφημα \* ARABIC </w:instrText>
      </w:r>
      <w:r w:rsidR="0084626E">
        <w:rPr>
          <w:b/>
          <w:sz w:val="24"/>
          <w:szCs w:val="24"/>
          <w:lang w:val="el-GR"/>
        </w:rPr>
        <w:fldChar w:fldCharType="separate"/>
      </w:r>
      <w:r w:rsidR="00DA4DF6">
        <w:rPr>
          <w:b/>
          <w:noProof/>
          <w:sz w:val="24"/>
          <w:szCs w:val="24"/>
          <w:lang w:val="el-GR"/>
        </w:rPr>
        <w:t>7</w:t>
      </w:r>
      <w:r w:rsidR="0084626E">
        <w:rPr>
          <w:b/>
          <w:sz w:val="24"/>
          <w:szCs w:val="24"/>
          <w:lang w:val="el-GR"/>
        </w:rPr>
        <w:fldChar w:fldCharType="end"/>
      </w:r>
      <w:r w:rsidRPr="00450210">
        <w:rPr>
          <w:b/>
          <w:sz w:val="24"/>
          <w:szCs w:val="24"/>
          <w:lang w:val="el-GR"/>
        </w:rPr>
        <w:t>: Κίνδυνος φτώχειας πριν τις κοινωνικές μεταβιβάσεις κατά ηλικιακή ομάδα και κατάσταση αναπηρίας το 2019</w:t>
      </w:r>
      <w:bookmarkEnd w:id="9"/>
    </w:p>
    <w:p w14:paraId="6091AF22" w14:textId="77777777" w:rsidR="003A48E6" w:rsidRDefault="005F5798" w:rsidP="003A48E6">
      <w:pPr>
        <w:keepNext/>
      </w:pPr>
      <w:r w:rsidRPr="00A26FB2">
        <w:rPr>
          <w:noProof/>
          <w:lang w:val="el-GR" w:eastAsia="el-GR"/>
        </w:rPr>
        <w:drawing>
          <wp:inline distT="0" distB="0" distL="0" distR="0" wp14:anchorId="547C7F45" wp14:editId="25DEFFE0">
            <wp:extent cx="5383637" cy="3548130"/>
            <wp:effectExtent l="0" t="0" r="0" b="0"/>
            <wp:docPr id="11" name="Γράφημα 6" descr="16-24 ετών: σοβαρή αναπηρία 40,1, μέτρια αναπηρία 65,2 και χωρίς αναπηρία 40,9. &#10;25-34 ετών: σοβαρή αναπηρία 75,3, μέτρια αναπηρία 60,2 και χωρίς αναπηρία 33,7. &#10;35-44 ετών: σοβαρή αναπηρία 69,1, μέτρια αναπηρία 48,1 και χωρίς αναπηρία 29,6. &#10;45-54 ετών: σοβαρή αναπηρία 55,7, μέτρια αναπηρία 42,8 και χωρίς αναπηρία 31,4. &#10;55-64 ετών: σοβαρή αναπηρία 69,6, μέτρια αναπηρία 67,7 και χωρίς αναπηρία 49,5. &#10;65+ ετών: σοβαρή αναπηρία 88,3, μέτρια αναπηρία 88,6 και χωρίς αναπηρία 81,4.&#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F898BF" w14:textId="77777777" w:rsidR="003A48E6" w:rsidRPr="006B62F0" w:rsidRDefault="003A48E6" w:rsidP="003A48E6">
      <w:pPr>
        <w:pStyle w:val="aa"/>
        <w:ind w:left="142"/>
        <w:jc w:val="both"/>
        <w:rPr>
          <w:rFonts w:ascii="Constantia" w:eastAsia="Georgia" w:hAnsi="Constantia" w:cstheme="majorHAnsi"/>
          <w:bCs/>
          <w:sz w:val="24"/>
          <w:szCs w:val="24"/>
        </w:rPr>
      </w:pPr>
      <w:r w:rsidRPr="006B62F0">
        <w:rPr>
          <w:lang w:val="el-GR"/>
        </w:rPr>
        <w:t>Πηγή</w:t>
      </w:r>
      <w:r w:rsidRPr="006B62F0">
        <w:t xml:space="preserve"> </w:t>
      </w:r>
      <w:r w:rsidRPr="006B62F0">
        <w:rPr>
          <w:lang w:val="el-GR"/>
        </w:rPr>
        <w:t>δεδομένων</w:t>
      </w:r>
      <w:r w:rsidRPr="006B62F0">
        <w:t xml:space="preserve">: </w:t>
      </w:r>
      <w:r>
        <w:t>Eurostat database, EU-SILC (</w:t>
      </w:r>
      <w:r w:rsidRPr="006B62F0">
        <w:t>Statistics on Income and Living Conditions</w:t>
      </w:r>
      <w:r>
        <w:t>)</w:t>
      </w:r>
    </w:p>
    <w:p w14:paraId="0F08B8B9" w14:textId="77777777" w:rsidR="005F5798" w:rsidRDefault="005F5798" w:rsidP="005F5798">
      <w:pPr>
        <w:pStyle w:val="aa"/>
        <w:jc w:val="both"/>
        <w:rPr>
          <w:rFonts w:ascii="Times New Roman" w:hAnsi="Times New Roman"/>
          <w:color w:val="auto"/>
          <w:sz w:val="24"/>
          <w:szCs w:val="24"/>
        </w:rPr>
      </w:pPr>
    </w:p>
    <w:p w14:paraId="5CA342CF" w14:textId="77777777" w:rsidR="005F5798" w:rsidRPr="00C40C4B" w:rsidRDefault="005F5798" w:rsidP="005F5798">
      <w:pPr>
        <w:jc w:val="both"/>
        <w:rPr>
          <w:sz w:val="24"/>
          <w:szCs w:val="24"/>
          <w:lang w:val="el-GR"/>
        </w:rPr>
      </w:pPr>
      <w:r w:rsidRPr="00C40C4B">
        <w:rPr>
          <w:sz w:val="24"/>
          <w:szCs w:val="24"/>
          <w:lang w:val="el-GR"/>
        </w:rPr>
        <w:t xml:space="preserve">Συνολικά στην ομάδα 16-64 το ποσοστό κινδύνου φτώχειας πριν από όλες τις κοινωνικές μεταβιβάσεις αγγίζει το 65,4% στον πληθυσμό των ατόμων με σοβαρή αναπηρία και το 57,8% στην ομάδα με μετρίου βαθμού περιορισμό δραστηριότητας, ενώ στον πληθυσμό χωρίς αναπηρία ανέρχεται στο 36,1%. </w:t>
      </w:r>
    </w:p>
    <w:p w14:paraId="7E46E27A" w14:textId="77777777" w:rsidR="005F5798" w:rsidRPr="00D34ABE" w:rsidRDefault="00FE194D" w:rsidP="005F5798">
      <w:pPr>
        <w:rPr>
          <w:sz w:val="24"/>
          <w:szCs w:val="24"/>
          <w:lang w:val="el-GR"/>
        </w:rPr>
      </w:pPr>
      <w:r w:rsidRPr="00D34ABE">
        <w:rPr>
          <w:sz w:val="24"/>
          <w:szCs w:val="24"/>
          <w:lang w:val="el-GR"/>
        </w:rPr>
        <w:t xml:space="preserve">Ειδικότερα: </w:t>
      </w:r>
    </w:p>
    <w:p w14:paraId="006B5604" w14:textId="77777777" w:rsidR="005F5798" w:rsidRPr="00C40C4B" w:rsidRDefault="005F5798" w:rsidP="00D34ABE">
      <w:pPr>
        <w:pStyle w:val="a9"/>
        <w:numPr>
          <w:ilvl w:val="0"/>
          <w:numId w:val="13"/>
        </w:numPr>
        <w:spacing w:after="200" w:line="276" w:lineRule="auto"/>
        <w:rPr>
          <w:sz w:val="24"/>
          <w:szCs w:val="24"/>
          <w:lang w:val="el-GR"/>
        </w:rPr>
      </w:pPr>
      <w:r w:rsidRPr="00C40C4B">
        <w:rPr>
          <w:sz w:val="24"/>
          <w:szCs w:val="24"/>
          <w:lang w:val="el-GR"/>
        </w:rPr>
        <w:t xml:space="preserve">στην ομάδα «25-34 ετών» το ποσοστό των ατόμων με σοβαρή αναπηρία που αντιμετωπίζουν τον κίνδυνο φτώχειας ανέρχεται σε 75,3% όντας 42 ποσοστιαίες μονάδες υψηλότερος από το αντίστοιχο ποσοστό στα άτομα χωρίς αναπηρία. </w:t>
      </w:r>
    </w:p>
    <w:p w14:paraId="30CF75F3" w14:textId="77777777" w:rsidR="005F5798" w:rsidRPr="00C40C4B" w:rsidRDefault="005F5798" w:rsidP="00D34ABE">
      <w:pPr>
        <w:pStyle w:val="a9"/>
        <w:numPr>
          <w:ilvl w:val="0"/>
          <w:numId w:val="13"/>
        </w:numPr>
        <w:spacing w:after="200" w:line="276" w:lineRule="auto"/>
        <w:rPr>
          <w:sz w:val="24"/>
          <w:szCs w:val="24"/>
          <w:lang w:val="el-GR"/>
        </w:rPr>
      </w:pPr>
      <w:r w:rsidRPr="00C40C4B">
        <w:rPr>
          <w:sz w:val="24"/>
          <w:szCs w:val="24"/>
          <w:lang w:val="el-GR"/>
        </w:rPr>
        <w:t xml:space="preserve">στην ομάδα «35-44 ετών» το ποσοστό των ατόμων με σοβαρή αναπηρία που αντιμετωπίζουν τον κίνδυνο φτώχειας ανέρχεται σε 69,1%, σχεδόν 40 ποσοστιαίες μονάδες υψηλότερος από το αντίστοιχο ποσοστό στα άτομα χωρίς αναπηρία. </w:t>
      </w:r>
    </w:p>
    <w:p w14:paraId="21ECC259" w14:textId="77777777" w:rsidR="005F5798" w:rsidRPr="00C40C4B" w:rsidRDefault="005F5798" w:rsidP="00D34ABE">
      <w:pPr>
        <w:pStyle w:val="a9"/>
        <w:numPr>
          <w:ilvl w:val="0"/>
          <w:numId w:val="13"/>
        </w:numPr>
        <w:spacing w:after="200" w:line="276" w:lineRule="auto"/>
        <w:rPr>
          <w:sz w:val="24"/>
          <w:szCs w:val="24"/>
          <w:lang w:val="el-GR"/>
        </w:rPr>
      </w:pPr>
      <w:r w:rsidRPr="00C40C4B">
        <w:rPr>
          <w:sz w:val="24"/>
          <w:szCs w:val="24"/>
          <w:lang w:val="el-GR"/>
        </w:rPr>
        <w:t>στην ομάδα «45-54 ετών» το ποσοστό των ατόμων με σοβαρή αναπηρία που αντιμετωπίζουν τον κίνδυνο φτώχειας ανέρχεται σε 55,7%, ενώ το αντίστοιχο ποσοστό στα άτομα χωρίς αναπηρία βρίσκεται στο 31,4%.</w:t>
      </w:r>
    </w:p>
    <w:p w14:paraId="12E891DC" w14:textId="77777777" w:rsidR="005F5798" w:rsidRPr="005F5798" w:rsidRDefault="005F5798" w:rsidP="005F5798">
      <w:pPr>
        <w:rPr>
          <w:rFonts w:ascii="Times New Roman" w:hAnsi="Times New Roman"/>
          <w:sz w:val="24"/>
          <w:szCs w:val="24"/>
          <w:lang w:val="el-GR"/>
        </w:rPr>
      </w:pPr>
    </w:p>
    <w:p w14:paraId="7F30659E" w14:textId="77777777" w:rsidR="00C40C4B" w:rsidRPr="00C40C4B" w:rsidRDefault="005F5798" w:rsidP="00B7729E">
      <w:pPr>
        <w:jc w:val="both"/>
        <w:rPr>
          <w:sz w:val="24"/>
          <w:szCs w:val="24"/>
          <w:lang w:val="el-GR"/>
        </w:rPr>
      </w:pPr>
      <w:r w:rsidRPr="00C40C4B">
        <w:rPr>
          <w:sz w:val="24"/>
          <w:szCs w:val="24"/>
          <w:lang w:val="el-GR"/>
        </w:rPr>
        <w:t>Τα εν λόγω επίπεδα είναι σαφώς ανησυχητικά, και υποδεικνύουν ότι σημαντικό τμήμα του παραγωγικού πληθυσμού με αναπηρία βρίσκεται εντελώς αποκλεισμένο από την πρωταρχική πηγή εισοδήματος</w:t>
      </w:r>
      <w:r w:rsidR="00C40C4B" w:rsidRPr="00C40C4B">
        <w:rPr>
          <w:sz w:val="24"/>
          <w:szCs w:val="24"/>
          <w:lang w:val="el-GR"/>
        </w:rPr>
        <w:t>,</w:t>
      </w:r>
      <w:r w:rsidRPr="00C40C4B">
        <w:rPr>
          <w:sz w:val="24"/>
          <w:szCs w:val="24"/>
          <w:lang w:val="el-GR"/>
        </w:rPr>
        <w:t xml:space="preserve"> δηλαδή την εργασία, ή όπ</w:t>
      </w:r>
      <w:r w:rsidR="00C40C4B" w:rsidRPr="00C40C4B">
        <w:rPr>
          <w:sz w:val="24"/>
          <w:szCs w:val="24"/>
          <w:lang w:val="el-GR"/>
        </w:rPr>
        <w:t xml:space="preserve">ως περιγράφεται στη συνέχεια </w:t>
      </w:r>
      <w:r w:rsidRPr="00C40C4B">
        <w:rPr>
          <w:sz w:val="24"/>
          <w:szCs w:val="24"/>
          <w:lang w:val="el-GR"/>
        </w:rPr>
        <w:t xml:space="preserve">διαβιούν σε νοικοκυριά με χαμηλή ένταση εργασίας. </w:t>
      </w:r>
    </w:p>
    <w:p w14:paraId="7EB76BE6" w14:textId="77777777" w:rsidR="005F5798" w:rsidRPr="00C40C4B" w:rsidRDefault="005F5798" w:rsidP="00B7729E">
      <w:pPr>
        <w:jc w:val="both"/>
        <w:rPr>
          <w:sz w:val="24"/>
          <w:szCs w:val="24"/>
          <w:lang w:val="el-GR"/>
        </w:rPr>
      </w:pPr>
      <w:r w:rsidRPr="00C40C4B">
        <w:rPr>
          <w:sz w:val="24"/>
          <w:szCs w:val="24"/>
          <w:lang w:val="el-GR"/>
        </w:rPr>
        <w:t>Είναι προφανές ότι τα δεδομένα αφενός αποδεικνύουν την αδήριτη αναγκαιότητα των κοινωνικών μεταβιβάσεων, αφετέρου φαίνεται</w:t>
      </w:r>
      <w:r w:rsidR="00B7729E" w:rsidRPr="00C40C4B">
        <w:rPr>
          <w:sz w:val="24"/>
          <w:szCs w:val="24"/>
          <w:lang w:val="el-GR"/>
        </w:rPr>
        <w:t xml:space="preserve"> ότι οι κοινωνικές μεταβιβάσεις</w:t>
      </w:r>
      <w:r w:rsidRPr="00C40C4B">
        <w:rPr>
          <w:sz w:val="24"/>
          <w:szCs w:val="24"/>
          <w:lang w:val="el-GR"/>
        </w:rPr>
        <w:t xml:space="preserve"> επανορθώνουν μόνο μερικώς τις ανισότητες που αντιμετωπίζουν τα άτομα με αναπηρία ως προς την κοινωνική </w:t>
      </w:r>
      <w:r w:rsidR="00B7729E" w:rsidRPr="00C40C4B">
        <w:rPr>
          <w:sz w:val="24"/>
          <w:szCs w:val="24"/>
          <w:lang w:val="el-GR"/>
        </w:rPr>
        <w:t xml:space="preserve">και εργασιακή </w:t>
      </w:r>
      <w:r w:rsidRPr="00C40C4B">
        <w:rPr>
          <w:sz w:val="24"/>
          <w:szCs w:val="24"/>
          <w:lang w:val="el-GR"/>
        </w:rPr>
        <w:t xml:space="preserve">τους ένταξη.  </w:t>
      </w:r>
    </w:p>
    <w:p w14:paraId="5DB344C6" w14:textId="77777777" w:rsidR="00AA21A6" w:rsidRPr="00C40C4B" w:rsidRDefault="005F5798" w:rsidP="00FE194D">
      <w:pPr>
        <w:rPr>
          <w:b/>
          <w:sz w:val="32"/>
          <w:szCs w:val="32"/>
          <w:lang w:val="el-GR"/>
        </w:rPr>
      </w:pPr>
      <w:r w:rsidRPr="005F5798">
        <w:rPr>
          <w:color w:val="FF0000"/>
          <w:lang w:val="el-GR"/>
        </w:rPr>
        <w:t xml:space="preserve"> </w:t>
      </w:r>
    </w:p>
    <w:p w14:paraId="41624143" w14:textId="77777777" w:rsidR="003A006D" w:rsidRPr="00076819" w:rsidRDefault="009B19D6" w:rsidP="00076819">
      <w:pPr>
        <w:pStyle w:val="10"/>
        <w:numPr>
          <w:ilvl w:val="0"/>
          <w:numId w:val="11"/>
        </w:numPr>
        <w:rPr>
          <w:b/>
          <w:color w:val="auto"/>
          <w:lang w:val="el-GR"/>
        </w:rPr>
      </w:pPr>
      <w:bookmarkStart w:id="10" w:name="_Toc59179446"/>
      <w:r>
        <w:rPr>
          <w:b/>
          <w:color w:val="auto"/>
          <w:lang w:val="el-GR"/>
        </w:rPr>
        <w:t xml:space="preserve">Πληθυσμός </w:t>
      </w:r>
      <w:r w:rsidR="005F5798" w:rsidRPr="005F5798">
        <w:rPr>
          <w:b/>
          <w:color w:val="auto"/>
          <w:lang w:val="el-GR"/>
        </w:rPr>
        <w:t>που διαβιεί σε νοικοκυριά με υλική στέρηση</w:t>
      </w:r>
      <w:bookmarkEnd w:id="10"/>
    </w:p>
    <w:p w14:paraId="716E7F4E" w14:textId="77777777" w:rsidR="003A006D" w:rsidRPr="009B19D6" w:rsidRDefault="003A006D" w:rsidP="009B19D6">
      <w:pPr>
        <w:jc w:val="both"/>
        <w:rPr>
          <w:rFonts w:ascii="Times New Roman" w:hAnsi="Times New Roman"/>
          <w:sz w:val="24"/>
          <w:szCs w:val="24"/>
          <w:lang w:val="el-GR"/>
        </w:rPr>
      </w:pPr>
    </w:p>
    <w:p w14:paraId="3716B69E" w14:textId="77777777" w:rsidR="00076819" w:rsidRPr="00C40C4B" w:rsidRDefault="00076819" w:rsidP="009C4D36">
      <w:pPr>
        <w:jc w:val="both"/>
        <w:rPr>
          <w:sz w:val="24"/>
          <w:szCs w:val="24"/>
          <w:lang w:val="el-GR"/>
        </w:rPr>
      </w:pPr>
      <w:r w:rsidRPr="00C40C4B">
        <w:rPr>
          <w:sz w:val="24"/>
          <w:szCs w:val="24"/>
          <w:lang w:val="el-GR"/>
        </w:rPr>
        <w:t>Ο δείκτης «ποσοστό ατόμων με υλικές στερήσεις» εκτιμά το επίπεδο διαβίωσης μετρώντας το ποσοστό του πληθυσμού που στερείται τουλάχιστον 4 από έναν κατάλογο  9 βασικών αγαθών και υπηρεσιών</w:t>
      </w:r>
      <w:r w:rsidR="009B19D6" w:rsidRPr="00C40C4B">
        <w:rPr>
          <w:rStyle w:val="a8"/>
          <w:sz w:val="24"/>
          <w:szCs w:val="24"/>
          <w:lang w:val="el-GR"/>
        </w:rPr>
        <w:footnoteReference w:id="7"/>
      </w:r>
      <w:r w:rsidRPr="00C40C4B">
        <w:rPr>
          <w:sz w:val="24"/>
          <w:szCs w:val="24"/>
          <w:lang w:val="el-GR"/>
        </w:rPr>
        <w:t xml:space="preserve">, λόγω οικονομικής αδυναμίας απόκτησής τους. </w:t>
      </w:r>
    </w:p>
    <w:p w14:paraId="7D6898CC" w14:textId="77777777" w:rsidR="009B19D6" w:rsidRPr="00C40C4B" w:rsidRDefault="009B19D6" w:rsidP="009C4D36">
      <w:pPr>
        <w:jc w:val="both"/>
        <w:rPr>
          <w:sz w:val="24"/>
          <w:szCs w:val="24"/>
          <w:lang w:val="el-GR"/>
        </w:rPr>
      </w:pPr>
      <w:r w:rsidRPr="00C40C4B">
        <w:rPr>
          <w:sz w:val="24"/>
          <w:szCs w:val="24"/>
          <w:lang w:val="el-GR"/>
        </w:rPr>
        <w:t xml:space="preserve">Τα στοιχεία </w:t>
      </w:r>
      <w:r w:rsidR="009C4D36" w:rsidRPr="00C40C4B">
        <w:rPr>
          <w:sz w:val="24"/>
          <w:szCs w:val="24"/>
          <w:lang w:val="el-GR"/>
        </w:rPr>
        <w:t xml:space="preserve">και εδώ </w:t>
      </w:r>
      <w:r w:rsidRPr="00C40C4B">
        <w:rPr>
          <w:sz w:val="24"/>
          <w:szCs w:val="24"/>
          <w:lang w:val="el-GR"/>
        </w:rPr>
        <w:t xml:space="preserve">επιβεβαιώνουν τη </w:t>
      </w:r>
      <w:r w:rsidR="009C4D36" w:rsidRPr="00C40C4B">
        <w:rPr>
          <w:sz w:val="24"/>
          <w:szCs w:val="24"/>
          <w:lang w:val="el-GR"/>
        </w:rPr>
        <w:t xml:space="preserve">ισχυρή </w:t>
      </w:r>
      <w:r w:rsidRPr="00C40C4B">
        <w:rPr>
          <w:sz w:val="24"/>
          <w:szCs w:val="24"/>
          <w:lang w:val="el-GR"/>
        </w:rPr>
        <w:t xml:space="preserve">σχέση της αναπηρίας με τη φτώχεια καθώς και την επίδραση της βαρύτητας της αναπηρίας στην εν λόγω συσχέτιση. </w:t>
      </w:r>
    </w:p>
    <w:p w14:paraId="30BABC4D" w14:textId="77777777" w:rsidR="009C4D36" w:rsidRPr="00C40C4B" w:rsidRDefault="009C4D36" w:rsidP="009C4D36">
      <w:pPr>
        <w:jc w:val="both"/>
        <w:rPr>
          <w:sz w:val="24"/>
          <w:szCs w:val="24"/>
          <w:lang w:val="el-GR"/>
        </w:rPr>
      </w:pPr>
      <w:r w:rsidRPr="00C40C4B">
        <w:rPr>
          <w:sz w:val="24"/>
          <w:szCs w:val="24"/>
          <w:lang w:val="el-GR"/>
        </w:rPr>
        <w:t xml:space="preserve">Η διαχρονική εξέλιξη του δείκτη καταδεικνύει τη σταθερή αύξηση της υλικής στέρησης κατά τη διάρκεια των ετών από το 2010 και μετά, σε όλες τις κατηγορίες πληθυσμού,  ενώ τα έτη 2018 και 2019 διαπιστώνεται αποκλιμάκωση του φαινομένου με σημαντική μείωση των τιμών του δείκτη. </w:t>
      </w:r>
    </w:p>
    <w:p w14:paraId="06D6A8EC" w14:textId="77777777" w:rsidR="009C4D36" w:rsidRPr="00076819" w:rsidRDefault="009C4D36" w:rsidP="009C4D36">
      <w:pPr>
        <w:jc w:val="both"/>
        <w:rPr>
          <w:rFonts w:ascii="Times New Roman" w:hAnsi="Times New Roman"/>
          <w:sz w:val="24"/>
          <w:szCs w:val="24"/>
          <w:lang w:val="el-GR"/>
        </w:rPr>
      </w:pPr>
    </w:p>
    <w:p w14:paraId="741B1C21" w14:textId="56594BAD" w:rsidR="00076819" w:rsidRPr="009B19D6" w:rsidRDefault="00076819" w:rsidP="009B19D6">
      <w:pPr>
        <w:pStyle w:val="10"/>
        <w:ind w:left="284" w:right="651"/>
        <w:rPr>
          <w:b/>
          <w:sz w:val="24"/>
          <w:szCs w:val="24"/>
          <w:lang w:val="el-GR"/>
        </w:rPr>
      </w:pPr>
      <w:bookmarkStart w:id="11" w:name="_Toc59179447"/>
      <w:r w:rsidRPr="009B19D6">
        <w:rPr>
          <w:b/>
          <w:sz w:val="24"/>
          <w:szCs w:val="24"/>
          <w:lang w:val="el-GR"/>
        </w:rPr>
        <w:lastRenderedPageBreak/>
        <w:t xml:space="preserve">Γράφημα </w:t>
      </w:r>
      <w:r w:rsidR="0084626E">
        <w:rPr>
          <w:b/>
          <w:sz w:val="24"/>
          <w:szCs w:val="24"/>
          <w:lang w:val="el-GR"/>
        </w:rPr>
        <w:fldChar w:fldCharType="begin"/>
      </w:r>
      <w:r w:rsidR="006634A5">
        <w:rPr>
          <w:b/>
          <w:sz w:val="24"/>
          <w:szCs w:val="24"/>
          <w:lang w:val="el-GR"/>
        </w:rPr>
        <w:instrText xml:space="preserve"> SEQ Γράφημα \* ARABIC </w:instrText>
      </w:r>
      <w:r w:rsidR="0084626E">
        <w:rPr>
          <w:b/>
          <w:sz w:val="24"/>
          <w:szCs w:val="24"/>
          <w:lang w:val="el-GR"/>
        </w:rPr>
        <w:fldChar w:fldCharType="separate"/>
      </w:r>
      <w:r w:rsidR="00DA4DF6">
        <w:rPr>
          <w:b/>
          <w:noProof/>
          <w:sz w:val="24"/>
          <w:szCs w:val="24"/>
          <w:lang w:val="el-GR"/>
        </w:rPr>
        <w:t>8</w:t>
      </w:r>
      <w:r w:rsidR="0084626E">
        <w:rPr>
          <w:b/>
          <w:sz w:val="24"/>
          <w:szCs w:val="24"/>
          <w:lang w:val="el-GR"/>
        </w:rPr>
        <w:fldChar w:fldCharType="end"/>
      </w:r>
      <w:r w:rsidRPr="009B19D6">
        <w:rPr>
          <w:b/>
          <w:sz w:val="24"/>
          <w:szCs w:val="24"/>
          <w:lang w:val="el-GR"/>
        </w:rPr>
        <w:t>: Πληθυσμός 16 ετών και άνω που αντιμετωπίζει υλικές στερήσεις και κατάσταση αναπηρίας</w:t>
      </w:r>
      <w:bookmarkEnd w:id="11"/>
      <w:r w:rsidRPr="009B19D6">
        <w:rPr>
          <w:b/>
          <w:sz w:val="24"/>
          <w:szCs w:val="24"/>
          <w:lang w:val="el-GR"/>
        </w:rPr>
        <w:t xml:space="preserve"> </w:t>
      </w:r>
    </w:p>
    <w:p w14:paraId="4F13193F" w14:textId="77777777" w:rsidR="009B19D6" w:rsidRDefault="00076819" w:rsidP="009B19D6">
      <w:pPr>
        <w:keepNext/>
        <w:ind w:left="284"/>
      </w:pPr>
      <w:r w:rsidRPr="00B11B71">
        <w:rPr>
          <w:noProof/>
          <w:lang w:val="el-GR" w:eastAsia="el-GR"/>
        </w:rPr>
        <w:drawing>
          <wp:inline distT="0" distB="0" distL="0" distR="0" wp14:anchorId="6812F0DA" wp14:editId="7888DBF0">
            <wp:extent cx="5274310" cy="3244555"/>
            <wp:effectExtent l="0" t="0" r="2540" b="0"/>
            <wp:docPr id="15" name="Γράφημα 3" descr="2010: σοβαρή αναπηρία 18,8, μέτρια αναπηρία 16,2 και χωρίς αναπηρία 10,2. &#10;2011: σοβαρή αναπηρία 21,2, μέτρια αναπηρία 14,7 και χωρίς αναπηρία 14,2. &#10;2012: σοβαρή αναπηρία 25,2, μέτρια αναπηρία 21 και χωρίς αναπηρία 18,6. &#10;2013: σοβαρή αναπηρία 23,5, μέτρια αναπηρία 21 και χωρίς αναπηρία 19,2. &#10;2014: σοβαρή αναπηρία 26, μέτρια αναπηρία 20 και χωρίς αναπηρία 20,7. &#10;2015: σοβαρή αναπηρία 27,1, μέτρια αναπηρία 20,2 και χωρίς αναπηρία 20,9. &#10;2016: σοβαρή αναπηρία 25,7, μέτρια αναπηρία 22,4 και χωρίς αναπηρία 21,1. &#10;2017: σοβαρή αναπηρία 27,5, μέτρια αναπηρία 21,9 και χωρίς αναπηρία 19,4. &#10;2018: σοβαρή αναπηρία 21,9, μέτρια αναπηρία 17,6 και χωρίς αναπηρία 15,6. &#10;2019: σοβαρή αναπηρία 22,1, μέτρια αναπηρία 17,5 και χωρίς αναπηρία 15,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BC5816" w14:textId="77777777" w:rsidR="009B19D6" w:rsidRPr="006B62F0" w:rsidRDefault="009B19D6" w:rsidP="009B19D6">
      <w:pPr>
        <w:pStyle w:val="aa"/>
        <w:ind w:left="426"/>
        <w:jc w:val="both"/>
        <w:rPr>
          <w:rFonts w:ascii="Constantia" w:eastAsia="Georgia" w:hAnsi="Constantia" w:cstheme="majorHAnsi"/>
          <w:bCs/>
          <w:sz w:val="24"/>
          <w:szCs w:val="24"/>
        </w:rPr>
      </w:pPr>
      <w:r w:rsidRPr="006B62F0">
        <w:rPr>
          <w:lang w:val="el-GR"/>
        </w:rPr>
        <w:t>Πηγή</w:t>
      </w:r>
      <w:r w:rsidRPr="006B62F0">
        <w:t xml:space="preserve"> </w:t>
      </w:r>
      <w:r w:rsidRPr="006B62F0">
        <w:rPr>
          <w:lang w:val="el-GR"/>
        </w:rPr>
        <w:t>δεδομένων</w:t>
      </w:r>
      <w:r w:rsidRPr="006B62F0">
        <w:t xml:space="preserve">: </w:t>
      </w:r>
      <w:r>
        <w:t>Eurostat database, EU-SILC (</w:t>
      </w:r>
      <w:r w:rsidRPr="006B62F0">
        <w:t>Statistics on Income and Living Conditions</w:t>
      </w:r>
      <w:r>
        <w:t>)</w:t>
      </w:r>
    </w:p>
    <w:p w14:paraId="5E773DC0" w14:textId="77777777" w:rsidR="00D34ABE" w:rsidRDefault="00D34ABE" w:rsidP="00DD35FE">
      <w:pPr>
        <w:jc w:val="both"/>
        <w:rPr>
          <w:sz w:val="24"/>
          <w:szCs w:val="24"/>
          <w:lang w:val="el-GR"/>
        </w:rPr>
      </w:pPr>
    </w:p>
    <w:p w14:paraId="168C0170" w14:textId="15C5C084" w:rsidR="00DD35FE" w:rsidRPr="00C40C4B" w:rsidRDefault="00DD35FE" w:rsidP="00DD35FE">
      <w:pPr>
        <w:jc w:val="both"/>
        <w:rPr>
          <w:sz w:val="24"/>
          <w:szCs w:val="24"/>
          <w:lang w:val="el-GR"/>
        </w:rPr>
      </w:pPr>
      <w:r w:rsidRPr="00C40C4B">
        <w:rPr>
          <w:sz w:val="24"/>
          <w:szCs w:val="24"/>
          <w:lang w:val="el-GR"/>
        </w:rPr>
        <w:t>Όπως διαπιστώνεται και στις υπόλοιπες συνιστώσες της φτώχειας</w:t>
      </w:r>
      <w:r w:rsidR="00C40C4B">
        <w:rPr>
          <w:sz w:val="24"/>
          <w:szCs w:val="24"/>
          <w:lang w:val="el-GR"/>
        </w:rPr>
        <w:t>,</w:t>
      </w:r>
      <w:r w:rsidRPr="00C40C4B">
        <w:rPr>
          <w:sz w:val="24"/>
          <w:szCs w:val="24"/>
          <w:lang w:val="el-GR"/>
        </w:rPr>
        <w:t xml:space="preserve"> και το φαινόμενο της υλικής στέρησης είναι δραματικά εντονότερο στα άτομα με σοβαρή αναπηρία που βρίσκονται στο ηλικιακό φάσμα 16-64 ετών.</w:t>
      </w:r>
    </w:p>
    <w:p w14:paraId="141FD711" w14:textId="77777777" w:rsidR="00DD35FE" w:rsidRPr="00C40C4B" w:rsidRDefault="00DD35FE" w:rsidP="00DD35FE">
      <w:pPr>
        <w:jc w:val="both"/>
        <w:rPr>
          <w:sz w:val="24"/>
          <w:szCs w:val="24"/>
          <w:lang w:val="el-GR"/>
        </w:rPr>
      </w:pPr>
      <w:r w:rsidRPr="00C40C4B">
        <w:rPr>
          <w:sz w:val="24"/>
          <w:szCs w:val="24"/>
          <w:lang w:val="el-GR"/>
        </w:rPr>
        <w:t>Το 2019, σοβαρές υλικές στερήσεις αντιμετωπίζει το 31% των ατόμων ηλικίας 16-64 ετών με σοβαρή αναπηρία, και το 17,6% των ατόμων με σοβαρή αναπηρία ηλικίας 65+. Ωστόσο, και στις δύο ηλικιακές ομάδες τα ποσοστά ατόμων που διαβιούν σε υλική στέρηση είναι σχεδόν διπλάσια από τα αντίστοιχα που καταγράφονται στα άτομα χωρίς αναπηρία.</w:t>
      </w:r>
    </w:p>
    <w:p w14:paraId="6ECC7BE9" w14:textId="1F88D8A0" w:rsidR="009C4D36" w:rsidRPr="00481743" w:rsidRDefault="00DD35FE" w:rsidP="00D34ABE">
      <w:pPr>
        <w:jc w:val="both"/>
        <w:rPr>
          <w:sz w:val="24"/>
          <w:szCs w:val="24"/>
          <w:lang w:val="el-GR"/>
        </w:rPr>
      </w:pPr>
      <w:r w:rsidRPr="00C40C4B">
        <w:rPr>
          <w:sz w:val="24"/>
          <w:szCs w:val="24"/>
          <w:lang w:val="el-GR"/>
        </w:rPr>
        <w:t xml:space="preserve">Το γράφημα 9 αποτυπώνει τη διαχρονική εξέλιξη του ποσοστού πληθυσμού </w:t>
      </w:r>
      <w:r w:rsidR="00AB2107" w:rsidRPr="00C40C4B">
        <w:rPr>
          <w:sz w:val="24"/>
          <w:szCs w:val="24"/>
          <w:lang w:val="el-GR"/>
        </w:rPr>
        <w:t>ηλικίας 16-64 ετών που διαβιεί</w:t>
      </w:r>
      <w:r w:rsidRPr="00C40C4B">
        <w:rPr>
          <w:sz w:val="24"/>
          <w:szCs w:val="24"/>
          <w:lang w:val="el-GR"/>
        </w:rPr>
        <w:t xml:space="preserve"> σε υλική στέρηση, συγκριτικά για τις κατηγορίες με σοβαρή και χωρίς  αναπηρία.</w:t>
      </w:r>
      <w:r w:rsidR="00661D12" w:rsidRPr="00C40C4B">
        <w:rPr>
          <w:sz w:val="24"/>
          <w:szCs w:val="24"/>
          <w:lang w:val="el-GR"/>
        </w:rPr>
        <w:t xml:space="preserve"> Η διαγραμματική απεικόνιση, καθιστά εμφανές το σταθερό διαχρονικό χάσμα στο επίπεδο των υλικών συνθηκών διαβίωσης μεταξύ των ατόμων</w:t>
      </w:r>
      <w:r w:rsidR="00C40C4B">
        <w:rPr>
          <w:sz w:val="24"/>
          <w:szCs w:val="24"/>
          <w:lang w:val="el-GR"/>
        </w:rPr>
        <w:t>, σε συνάρτηση με την αναπηρία.</w:t>
      </w:r>
    </w:p>
    <w:p w14:paraId="35BA83BE" w14:textId="77777777" w:rsidR="009C4D36" w:rsidRPr="00481743" w:rsidRDefault="009C4D36" w:rsidP="00076819">
      <w:pPr>
        <w:rPr>
          <w:sz w:val="24"/>
          <w:szCs w:val="24"/>
          <w:lang w:val="el-GR"/>
        </w:rPr>
      </w:pPr>
    </w:p>
    <w:p w14:paraId="4F5CF1A8" w14:textId="51CF513F" w:rsidR="00076819" w:rsidRPr="00DD35FE" w:rsidRDefault="00076819" w:rsidP="00DD35FE">
      <w:pPr>
        <w:pStyle w:val="10"/>
        <w:ind w:left="284" w:right="651"/>
        <w:rPr>
          <w:b/>
          <w:sz w:val="24"/>
          <w:szCs w:val="24"/>
          <w:lang w:val="el-GR"/>
        </w:rPr>
      </w:pPr>
      <w:bookmarkStart w:id="12" w:name="_Toc59179448"/>
      <w:r w:rsidRPr="00DD35FE">
        <w:rPr>
          <w:b/>
          <w:sz w:val="24"/>
          <w:szCs w:val="24"/>
          <w:lang w:val="el-GR"/>
        </w:rPr>
        <w:lastRenderedPageBreak/>
        <w:t xml:space="preserve">Γράφημα </w:t>
      </w:r>
      <w:r w:rsidR="0084626E">
        <w:rPr>
          <w:b/>
          <w:sz w:val="24"/>
          <w:szCs w:val="24"/>
          <w:lang w:val="el-GR"/>
        </w:rPr>
        <w:fldChar w:fldCharType="begin"/>
      </w:r>
      <w:r w:rsidR="006634A5">
        <w:rPr>
          <w:b/>
          <w:sz w:val="24"/>
          <w:szCs w:val="24"/>
          <w:lang w:val="el-GR"/>
        </w:rPr>
        <w:instrText xml:space="preserve"> SEQ Γράφημα \* ARABIC </w:instrText>
      </w:r>
      <w:r w:rsidR="0084626E">
        <w:rPr>
          <w:b/>
          <w:sz w:val="24"/>
          <w:szCs w:val="24"/>
          <w:lang w:val="el-GR"/>
        </w:rPr>
        <w:fldChar w:fldCharType="separate"/>
      </w:r>
      <w:r w:rsidR="00DA4DF6">
        <w:rPr>
          <w:b/>
          <w:noProof/>
          <w:sz w:val="24"/>
          <w:szCs w:val="24"/>
          <w:lang w:val="el-GR"/>
        </w:rPr>
        <w:t>9</w:t>
      </w:r>
      <w:r w:rsidR="0084626E">
        <w:rPr>
          <w:b/>
          <w:sz w:val="24"/>
          <w:szCs w:val="24"/>
          <w:lang w:val="el-GR"/>
        </w:rPr>
        <w:fldChar w:fldCharType="end"/>
      </w:r>
      <w:r w:rsidRPr="00DD35FE">
        <w:rPr>
          <w:b/>
          <w:sz w:val="24"/>
          <w:szCs w:val="24"/>
          <w:lang w:val="el-GR"/>
        </w:rPr>
        <w:t>: Διαχρονική εξέλιξη ποσοστού πληθυσμού (16-64 ετών) σε υλική στέρηση και κατάσταση αναπηρίας</w:t>
      </w:r>
      <w:bookmarkEnd w:id="12"/>
      <w:r w:rsidRPr="00DD35FE">
        <w:rPr>
          <w:b/>
          <w:sz w:val="24"/>
          <w:szCs w:val="24"/>
          <w:lang w:val="el-GR"/>
        </w:rPr>
        <w:t xml:space="preserve"> </w:t>
      </w:r>
    </w:p>
    <w:p w14:paraId="3BAF8782" w14:textId="77777777" w:rsidR="00DD35FE" w:rsidRDefault="00076819" w:rsidP="00DD35FE">
      <w:pPr>
        <w:keepNext/>
        <w:ind w:left="142"/>
      </w:pPr>
      <w:r w:rsidRPr="00A1183D">
        <w:rPr>
          <w:noProof/>
          <w:color w:val="FF0000"/>
          <w:lang w:val="el-GR" w:eastAsia="el-GR"/>
        </w:rPr>
        <w:drawing>
          <wp:inline distT="0" distB="0" distL="0" distR="0" wp14:anchorId="0071F447" wp14:editId="02861146">
            <wp:extent cx="5274310" cy="2756804"/>
            <wp:effectExtent l="0" t="0" r="2540" b="5715"/>
            <wp:docPr id="16" name="Γράφημα 6" descr="2010: σοβαρή αναπηρία 22,3 και χωρίς αναπηρία 10,4. &#10;2011: σοβαρή αναπηρία 27,4 και χωρίς αναπηρία 14,9. &#10;2012: σοβαρή αναπηρία 35 και χωρίς αναπηρία 20,1. &#10;2013: σοβαρή αναπηρία 32,8 και χωρίς αναπηρία 20,7. &#10;2014: σοβαρή αναπηρία 35,1 και χωρίς αναπηρία 22. &#10;2015: σοβαρή αναπηρία 36,1 και χωρίς αναπηρία 22,4. &#10;2016: σοβαρή αναπηρία 36,9 και χωρίς αναπηρία 22,5. &#10;2017: σοβαρή αναπηρία 37,1 και χωρίς αναπηρία 20,7. &#10;2018: σοβαρή αναπηρία 29,9 και χωρίς αναπηρία 16,4. &#10;2019: σοβαρή αναπηρία 30,8 και χωρίς αναπηρία 1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EE5905" w14:textId="77777777" w:rsidR="00DD35FE" w:rsidRPr="006B62F0" w:rsidRDefault="00DD35FE" w:rsidP="00DD35FE">
      <w:pPr>
        <w:pStyle w:val="aa"/>
        <w:ind w:left="426"/>
        <w:jc w:val="both"/>
        <w:rPr>
          <w:rFonts w:ascii="Constantia" w:eastAsia="Georgia" w:hAnsi="Constantia" w:cstheme="majorHAnsi"/>
          <w:bCs/>
          <w:sz w:val="24"/>
          <w:szCs w:val="24"/>
        </w:rPr>
      </w:pPr>
      <w:r w:rsidRPr="006B62F0">
        <w:rPr>
          <w:lang w:val="el-GR"/>
        </w:rPr>
        <w:t>Πηγή</w:t>
      </w:r>
      <w:r w:rsidRPr="006B62F0">
        <w:t xml:space="preserve"> </w:t>
      </w:r>
      <w:r w:rsidRPr="006B62F0">
        <w:rPr>
          <w:lang w:val="el-GR"/>
        </w:rPr>
        <w:t>δεδομένων</w:t>
      </w:r>
      <w:r w:rsidRPr="006B62F0">
        <w:t xml:space="preserve">: </w:t>
      </w:r>
      <w:r>
        <w:t>Eurostat database, EU-SILC (</w:t>
      </w:r>
      <w:r w:rsidRPr="006B62F0">
        <w:t>Statistics on Income and Living Conditions</w:t>
      </w:r>
      <w:r>
        <w:t>)</w:t>
      </w:r>
    </w:p>
    <w:p w14:paraId="6DDA0A00" w14:textId="77777777" w:rsidR="00076819" w:rsidRPr="00F4074C" w:rsidRDefault="00076819" w:rsidP="00F4074C">
      <w:pPr>
        <w:jc w:val="both"/>
        <w:rPr>
          <w:sz w:val="24"/>
          <w:szCs w:val="24"/>
          <w:lang w:val="el-GR"/>
        </w:rPr>
      </w:pPr>
    </w:p>
    <w:p w14:paraId="60BEA57F" w14:textId="238C8E75" w:rsidR="00076819" w:rsidRPr="00C40C4B" w:rsidRDefault="00076819" w:rsidP="002F00F5">
      <w:pPr>
        <w:jc w:val="both"/>
        <w:rPr>
          <w:sz w:val="24"/>
          <w:szCs w:val="24"/>
          <w:lang w:val="el-GR"/>
        </w:rPr>
      </w:pPr>
      <w:r w:rsidRPr="00C40C4B">
        <w:rPr>
          <w:sz w:val="24"/>
          <w:szCs w:val="24"/>
          <w:lang w:val="el-GR"/>
        </w:rPr>
        <w:t>Εντούτοις, η έννοια της υλικής στέρησης</w:t>
      </w:r>
      <w:r w:rsidR="00C40C4B">
        <w:rPr>
          <w:sz w:val="24"/>
          <w:szCs w:val="24"/>
          <w:lang w:val="el-GR"/>
        </w:rPr>
        <w:t xml:space="preserve"> εδώ</w:t>
      </w:r>
      <w:r w:rsidRPr="00C40C4B">
        <w:rPr>
          <w:sz w:val="24"/>
          <w:szCs w:val="24"/>
          <w:lang w:val="el-GR"/>
        </w:rPr>
        <w:t xml:space="preserve"> </w:t>
      </w:r>
      <w:r w:rsidR="00C40C4B">
        <w:rPr>
          <w:sz w:val="24"/>
          <w:szCs w:val="24"/>
          <w:lang w:val="el-GR"/>
        </w:rPr>
        <w:t xml:space="preserve">δεν </w:t>
      </w:r>
      <w:r w:rsidRPr="00C40C4B">
        <w:rPr>
          <w:sz w:val="24"/>
          <w:szCs w:val="24"/>
          <w:lang w:val="el-GR"/>
        </w:rPr>
        <w:t xml:space="preserve">λαμβάνει υπόψη τις ανελαστικές ανάγκες σε εξειδικευμένα αγαθά και υπηρεσίες (υγείας, αποκατάστασης </w:t>
      </w:r>
      <w:r w:rsidR="003B4D49">
        <w:rPr>
          <w:sz w:val="24"/>
          <w:szCs w:val="24"/>
          <w:lang w:val="el-GR"/>
        </w:rPr>
        <w:t>κ.λπ</w:t>
      </w:r>
      <w:r w:rsidR="00F4074C">
        <w:rPr>
          <w:sz w:val="24"/>
          <w:szCs w:val="24"/>
          <w:lang w:val="el-GR"/>
        </w:rPr>
        <w:t>.</w:t>
      </w:r>
      <w:r w:rsidRPr="00C40C4B">
        <w:rPr>
          <w:sz w:val="24"/>
          <w:szCs w:val="24"/>
          <w:lang w:val="el-GR"/>
        </w:rPr>
        <w:t xml:space="preserve">) που απορρέουν από την κατάσταση της αναπηρίας. Η μη ικανοποίηση αυτών των αναγκών αποτελεί προφανώς κατάσταση σημαντικής υλικής αποστέρησης για τον πληθυσμό με αναπηρία, και δεν αποτυπώνεται στον εν λόγω δείκτη. </w:t>
      </w:r>
      <w:r w:rsidRPr="00C40C4B">
        <w:rPr>
          <w:b/>
          <w:sz w:val="24"/>
          <w:szCs w:val="24"/>
          <w:lang w:val="el-GR"/>
        </w:rPr>
        <w:t xml:space="preserve">Υπό αυτή την έννοια, το ποσοστό του πληθυσμού των ατόμων με αναπηρία που στερούνται τη δυνατότητα ενός ανεκτού επιπέδου υποεκτιμάται </w:t>
      </w:r>
      <w:r w:rsidRPr="00C40C4B">
        <w:rPr>
          <w:sz w:val="24"/>
          <w:szCs w:val="24"/>
          <w:lang w:val="el-GR"/>
        </w:rPr>
        <w:t xml:space="preserve">στα διαθέσιμα δεδομένα. </w:t>
      </w:r>
    </w:p>
    <w:p w14:paraId="1C5A46A6" w14:textId="77777777" w:rsidR="00F4074C" w:rsidRDefault="00F4074C">
      <w:pPr>
        <w:rPr>
          <w:rFonts w:asciiTheme="majorHAnsi" w:eastAsiaTheme="majorEastAsia" w:hAnsiTheme="majorHAnsi" w:cstheme="majorBidi"/>
          <w:b/>
          <w:sz w:val="32"/>
          <w:szCs w:val="32"/>
          <w:lang w:val="el-GR"/>
        </w:rPr>
      </w:pPr>
      <w:bookmarkStart w:id="13" w:name="_Toc59179449"/>
      <w:r>
        <w:rPr>
          <w:b/>
          <w:lang w:val="el-GR"/>
        </w:rPr>
        <w:br w:type="page"/>
      </w:r>
    </w:p>
    <w:p w14:paraId="10E272C9" w14:textId="4E550B5F" w:rsidR="005F5798" w:rsidRDefault="00886744" w:rsidP="003A006D">
      <w:pPr>
        <w:pStyle w:val="10"/>
        <w:numPr>
          <w:ilvl w:val="0"/>
          <w:numId w:val="11"/>
        </w:numPr>
        <w:rPr>
          <w:b/>
          <w:color w:val="auto"/>
          <w:lang w:val="el-GR"/>
        </w:rPr>
      </w:pPr>
      <w:r>
        <w:rPr>
          <w:b/>
          <w:color w:val="auto"/>
          <w:lang w:val="el-GR"/>
        </w:rPr>
        <w:lastRenderedPageBreak/>
        <w:t xml:space="preserve">Πληθυσμός </w:t>
      </w:r>
      <w:r w:rsidRPr="00886744">
        <w:rPr>
          <w:b/>
          <w:color w:val="auto"/>
          <w:lang w:val="el-GR"/>
        </w:rPr>
        <w:t>που διαβιεί σε νοικοκυριά με χαμηλή ένταση εργασίας</w:t>
      </w:r>
      <w:bookmarkEnd w:id="13"/>
    </w:p>
    <w:p w14:paraId="5A5A46E9" w14:textId="77777777" w:rsidR="00CD0EA9" w:rsidRPr="00C40C4B" w:rsidRDefault="00CD0EA9" w:rsidP="002F00F5">
      <w:pPr>
        <w:jc w:val="both"/>
        <w:rPr>
          <w:sz w:val="24"/>
          <w:szCs w:val="24"/>
          <w:lang w:val="el-GR"/>
        </w:rPr>
      </w:pPr>
      <w:r w:rsidRPr="00C40C4B">
        <w:rPr>
          <w:sz w:val="24"/>
          <w:szCs w:val="24"/>
          <w:lang w:val="el-GR"/>
        </w:rPr>
        <w:t>Ο δείκτης «</w:t>
      </w:r>
      <w:r w:rsidR="00886744" w:rsidRPr="00C40C4B">
        <w:rPr>
          <w:sz w:val="24"/>
          <w:szCs w:val="24"/>
          <w:lang w:val="el-GR"/>
        </w:rPr>
        <w:t>Ποσοστό πληθυσμού που διαβιεί σε νοικοκυριά με χαμηλή ένταση</w:t>
      </w:r>
      <w:r w:rsidRPr="00C40C4B">
        <w:rPr>
          <w:sz w:val="24"/>
          <w:szCs w:val="24"/>
          <w:lang w:val="el-GR"/>
        </w:rPr>
        <w:t xml:space="preserve"> εργασία</w:t>
      </w:r>
      <w:r w:rsidR="00886744" w:rsidRPr="00C40C4B">
        <w:rPr>
          <w:sz w:val="24"/>
          <w:szCs w:val="24"/>
          <w:lang w:val="el-GR"/>
        </w:rPr>
        <w:t>ς</w:t>
      </w:r>
      <w:r w:rsidRPr="00C40C4B">
        <w:rPr>
          <w:sz w:val="24"/>
          <w:szCs w:val="24"/>
          <w:lang w:val="el-GR"/>
        </w:rPr>
        <w:t>» αποτυπώνει το ποσοστό των ατόμων που διαβιούν σε νοικοκυριά με εξαιρετικό χαμηλό επίπεδο συμμετοχής στην απασχόληση. Ειδικότερα, ο δείκτης αναφέρεται στο ποσοστό του πληθυσμού ηλικίας 0-59 που διαβιεί σε νοικοκυριά των οποίων τα μέλη εργάστηκαν συνολικά λιγότερο από το 20% της συνήθους απασχόλησης κατά τη διάρκεια του προηγούμενου έτους.</w:t>
      </w:r>
    </w:p>
    <w:p w14:paraId="545F33D5" w14:textId="77777777" w:rsidR="00CD0EA9" w:rsidRPr="00C40C4B" w:rsidRDefault="00CD0EA9" w:rsidP="006C774A">
      <w:pPr>
        <w:jc w:val="both"/>
        <w:rPr>
          <w:sz w:val="24"/>
          <w:szCs w:val="24"/>
          <w:lang w:val="el-GR"/>
        </w:rPr>
      </w:pPr>
      <w:r w:rsidRPr="00C40C4B">
        <w:rPr>
          <w:sz w:val="24"/>
          <w:szCs w:val="24"/>
          <w:lang w:val="el-GR"/>
        </w:rPr>
        <w:t xml:space="preserve">Η ανάλυση του δείκτη  στον πληθυσμό των ατόμων με αναπηρία καθιστά εμφανές ότι ο τομέας της απασχόλησης αποτελεί το κατεξοχήν πεδίο ύπαρξης εμποδίων και αναπαραγωγής διακρίσεων εις βάρος του πληθυσμού των ατόμων με αναπηρία και των οικογενειών τους. </w:t>
      </w:r>
    </w:p>
    <w:p w14:paraId="63544E64" w14:textId="77777777" w:rsidR="003A006D" w:rsidRPr="00C40C4B" w:rsidRDefault="001B38E7" w:rsidP="001B38E7">
      <w:pPr>
        <w:jc w:val="both"/>
        <w:rPr>
          <w:sz w:val="24"/>
          <w:szCs w:val="24"/>
          <w:lang w:val="el-GR"/>
        </w:rPr>
      </w:pPr>
      <w:r w:rsidRPr="00C40C4B">
        <w:rPr>
          <w:b/>
          <w:sz w:val="24"/>
          <w:szCs w:val="24"/>
          <w:lang w:val="el-GR"/>
        </w:rPr>
        <w:t>Το 2019 σχεδόν οι  5 στους 10 με σοβαρή αναπηρία διαβιούν σε νοικοκυριά των οποίων τα μέλη υποαπασχολούνται</w:t>
      </w:r>
      <w:r w:rsidR="002B59B0" w:rsidRPr="00C40C4B">
        <w:rPr>
          <w:b/>
          <w:sz w:val="24"/>
          <w:szCs w:val="24"/>
          <w:lang w:val="el-GR"/>
        </w:rPr>
        <w:t xml:space="preserve">  ή και βρίσκονται σε καθεστώς ανεργίας</w:t>
      </w:r>
      <w:r w:rsidR="002B59B0" w:rsidRPr="00C40C4B">
        <w:rPr>
          <w:sz w:val="24"/>
          <w:szCs w:val="24"/>
          <w:lang w:val="el-GR"/>
        </w:rPr>
        <w:t>. Μάλιστα από το έτος 2016 και έπειτα διαπιστώνεται αύξηση των ποσοστών ατόμων με αναπηρία που διαβιούν σε νοικοκυριά με χαμηλή ένταση εργασίας όταν στον πληθυσμό χωρίς αναπηρ</w:t>
      </w:r>
      <w:r w:rsidR="00A549D0" w:rsidRPr="00C40C4B">
        <w:rPr>
          <w:sz w:val="24"/>
          <w:szCs w:val="24"/>
          <w:lang w:val="el-GR"/>
        </w:rPr>
        <w:t>ία</w:t>
      </w:r>
      <w:r w:rsidR="002B59B0" w:rsidRPr="00C40C4B">
        <w:rPr>
          <w:sz w:val="24"/>
          <w:szCs w:val="24"/>
          <w:lang w:val="el-GR"/>
        </w:rPr>
        <w:t xml:space="preserve"> σημειώνεται σταθερή κάμψη του εν λόγω δείκτη. </w:t>
      </w:r>
    </w:p>
    <w:p w14:paraId="34502E44" w14:textId="6EE65C03" w:rsidR="006634A5" w:rsidRPr="00DD35FE" w:rsidRDefault="006634A5" w:rsidP="006634A5">
      <w:pPr>
        <w:pStyle w:val="10"/>
        <w:ind w:left="284" w:right="651"/>
        <w:rPr>
          <w:b/>
          <w:sz w:val="24"/>
          <w:szCs w:val="24"/>
          <w:lang w:val="el-GR"/>
        </w:rPr>
      </w:pPr>
      <w:bookmarkStart w:id="14" w:name="_Toc59179450"/>
      <w:r w:rsidRPr="006634A5">
        <w:rPr>
          <w:b/>
          <w:sz w:val="24"/>
          <w:szCs w:val="24"/>
          <w:lang w:val="el-GR"/>
        </w:rPr>
        <w:t xml:space="preserve">Γράφημα </w:t>
      </w:r>
      <w:r w:rsidR="0084626E" w:rsidRPr="006634A5">
        <w:rPr>
          <w:b/>
          <w:sz w:val="24"/>
          <w:szCs w:val="24"/>
          <w:lang w:val="el-GR"/>
        </w:rPr>
        <w:fldChar w:fldCharType="begin"/>
      </w:r>
      <w:r w:rsidRPr="006634A5">
        <w:rPr>
          <w:b/>
          <w:sz w:val="24"/>
          <w:szCs w:val="24"/>
          <w:lang w:val="el-GR"/>
        </w:rPr>
        <w:instrText xml:space="preserve"> SEQ Γράφημα \* ARABIC </w:instrText>
      </w:r>
      <w:r w:rsidR="0084626E" w:rsidRPr="006634A5">
        <w:rPr>
          <w:b/>
          <w:sz w:val="24"/>
          <w:szCs w:val="24"/>
          <w:lang w:val="el-GR"/>
        </w:rPr>
        <w:fldChar w:fldCharType="separate"/>
      </w:r>
      <w:r w:rsidR="00DA4DF6">
        <w:rPr>
          <w:b/>
          <w:noProof/>
          <w:sz w:val="24"/>
          <w:szCs w:val="24"/>
          <w:lang w:val="el-GR"/>
        </w:rPr>
        <w:t>10</w:t>
      </w:r>
      <w:r w:rsidR="0084626E" w:rsidRPr="006634A5">
        <w:rPr>
          <w:b/>
          <w:sz w:val="24"/>
          <w:szCs w:val="24"/>
          <w:lang w:val="el-GR"/>
        </w:rPr>
        <w:fldChar w:fldCharType="end"/>
      </w:r>
      <w:r w:rsidRPr="006634A5">
        <w:rPr>
          <w:b/>
          <w:sz w:val="24"/>
          <w:szCs w:val="24"/>
          <w:lang w:val="el-GR"/>
        </w:rPr>
        <w:t xml:space="preserve">:  </w:t>
      </w:r>
      <w:r w:rsidRPr="00DD35FE">
        <w:rPr>
          <w:b/>
          <w:sz w:val="24"/>
          <w:szCs w:val="24"/>
          <w:lang w:val="el-GR"/>
        </w:rPr>
        <w:t>Διαχρονική ε</w:t>
      </w:r>
      <w:r>
        <w:rPr>
          <w:b/>
          <w:sz w:val="24"/>
          <w:szCs w:val="24"/>
          <w:lang w:val="el-GR"/>
        </w:rPr>
        <w:t>ξέλιξη ποσοστού πληθυσμού (16-59</w:t>
      </w:r>
      <w:r w:rsidRPr="00DD35FE">
        <w:rPr>
          <w:b/>
          <w:sz w:val="24"/>
          <w:szCs w:val="24"/>
          <w:lang w:val="el-GR"/>
        </w:rPr>
        <w:t xml:space="preserve"> ετών) </w:t>
      </w:r>
      <w:r>
        <w:rPr>
          <w:b/>
          <w:sz w:val="24"/>
          <w:szCs w:val="24"/>
          <w:lang w:val="el-GR"/>
        </w:rPr>
        <w:t xml:space="preserve">που διαβιεί </w:t>
      </w:r>
      <w:r w:rsidRPr="00DD35FE">
        <w:rPr>
          <w:b/>
          <w:sz w:val="24"/>
          <w:szCs w:val="24"/>
          <w:lang w:val="el-GR"/>
        </w:rPr>
        <w:t xml:space="preserve">σε </w:t>
      </w:r>
      <w:r w:rsidR="00301FD6">
        <w:rPr>
          <w:b/>
          <w:sz w:val="24"/>
          <w:szCs w:val="24"/>
          <w:lang w:val="el-GR"/>
        </w:rPr>
        <w:t>νοικοκυριά με χαμηλή ένταση</w:t>
      </w:r>
      <w:r>
        <w:rPr>
          <w:b/>
          <w:sz w:val="24"/>
          <w:szCs w:val="24"/>
          <w:lang w:val="el-GR"/>
        </w:rPr>
        <w:t xml:space="preserve"> εργασία</w:t>
      </w:r>
      <w:r w:rsidR="00301FD6">
        <w:rPr>
          <w:b/>
          <w:sz w:val="24"/>
          <w:szCs w:val="24"/>
          <w:lang w:val="el-GR"/>
        </w:rPr>
        <w:t>ς</w:t>
      </w:r>
      <w:bookmarkEnd w:id="14"/>
      <w:r>
        <w:rPr>
          <w:b/>
          <w:sz w:val="24"/>
          <w:szCs w:val="24"/>
          <w:lang w:val="el-GR"/>
        </w:rPr>
        <w:t xml:space="preserve"> </w:t>
      </w:r>
      <w:r w:rsidRPr="00DD35FE">
        <w:rPr>
          <w:b/>
          <w:sz w:val="24"/>
          <w:szCs w:val="24"/>
          <w:lang w:val="el-GR"/>
        </w:rPr>
        <w:t xml:space="preserve"> </w:t>
      </w:r>
    </w:p>
    <w:p w14:paraId="030BBBAD" w14:textId="77777777" w:rsidR="00104126" w:rsidRDefault="00CD0EA9" w:rsidP="00104126">
      <w:pPr>
        <w:keepNext/>
        <w:ind w:left="284"/>
      </w:pPr>
      <w:r w:rsidRPr="00CD0EA9">
        <w:rPr>
          <w:noProof/>
          <w:lang w:val="el-GR" w:eastAsia="el-GR"/>
        </w:rPr>
        <w:drawing>
          <wp:inline distT="0" distB="0" distL="0" distR="0" wp14:anchorId="71FE21E1" wp14:editId="041918DF">
            <wp:extent cx="5042347" cy="2955702"/>
            <wp:effectExtent l="0" t="0" r="6350" b="0"/>
            <wp:docPr id="17" name="Γράφημα 7" descr="2010: σοβαρή αναπηρία 30,7, μέτρια αναπηρία 22,7 και χωρίς αναπηρία 7,4.&#10;2011: σοβαρή αναπηρία 46,1, μέτρια αναπηρία 22,6 και χωρίς αναπηρία 11,6.&#10;2012: σοβαρή αναπηρία 41,7, μέτρια αναπηρία 31,6 και χωρίς αναπηρία 13,8.&#10;2013: σοβαρή αναπηρία 42,9, μέτρια αναπηρία 37,8 και χωρίς αναπηρία 16,9.&#10;2014: σοβαρή αναπηρία 42,9, μέτρια αναπηρία 32,1 και χωρίς αναπηρία 17. &#10;2015: σοβαρή αναπηρία 34,8, μέτρια αναπηρία 27 και χωρίς αναπηρία 17.&#10;2016: σοβαρή αναπηρία 42,6, μέτρια αναπηρία 27,9 και χωρίς αναπηρία 17. &#10;2017: σοβαρή αναπηρία 41,4, μέτρια αναπηρία 26,3 και χωρίς αναπηρία 15,4. &#10;2018: σοβαρή αναπηρία 42,9, μέτρια αναπηρία 29,3 και χωρίς αναπηρία 14,3. &#10;2019: σοβαρή αναπηρία 48,3, μέτρια αναπηρία 32,8 και χωρίς αναπηρία 13.&#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2B8E92" w14:textId="77777777" w:rsidR="00104126" w:rsidRPr="006B62F0" w:rsidRDefault="00104126" w:rsidP="00104126">
      <w:pPr>
        <w:pStyle w:val="aa"/>
        <w:ind w:left="426"/>
        <w:jc w:val="both"/>
        <w:rPr>
          <w:rFonts w:ascii="Constantia" w:eastAsia="Georgia" w:hAnsi="Constantia" w:cstheme="majorHAnsi"/>
          <w:bCs/>
          <w:sz w:val="24"/>
          <w:szCs w:val="24"/>
        </w:rPr>
      </w:pPr>
      <w:r w:rsidRPr="006B62F0">
        <w:rPr>
          <w:lang w:val="el-GR"/>
        </w:rPr>
        <w:t>Πηγή</w:t>
      </w:r>
      <w:r w:rsidRPr="006B62F0">
        <w:t xml:space="preserve"> </w:t>
      </w:r>
      <w:r w:rsidRPr="006B62F0">
        <w:rPr>
          <w:lang w:val="el-GR"/>
        </w:rPr>
        <w:t>δεδομένων</w:t>
      </w:r>
      <w:r w:rsidRPr="006B62F0">
        <w:t xml:space="preserve">: </w:t>
      </w:r>
      <w:r>
        <w:t>Eurostat database, EU-SILC (</w:t>
      </w:r>
      <w:r w:rsidRPr="006B62F0">
        <w:t>Statistics on Income and Living Conditions</w:t>
      </w:r>
      <w:r>
        <w:t>)</w:t>
      </w:r>
    </w:p>
    <w:p w14:paraId="4609761F" w14:textId="77777777" w:rsidR="003A006D" w:rsidRPr="00104126" w:rsidRDefault="003A006D" w:rsidP="003A006D"/>
    <w:p w14:paraId="74055036" w14:textId="77777777" w:rsidR="00AA21A6" w:rsidRDefault="00AA21A6" w:rsidP="00AA21A6">
      <w:pPr>
        <w:ind w:right="142"/>
        <w:rPr>
          <w:rFonts w:asciiTheme="majorHAnsi" w:hAnsiTheme="majorHAnsi"/>
          <w:b/>
          <w:lang w:val="el-GR"/>
        </w:rPr>
      </w:pPr>
      <w:r w:rsidRPr="002640C3">
        <w:rPr>
          <w:rFonts w:asciiTheme="majorHAnsi" w:hAnsiTheme="majorHAnsi"/>
          <w:b/>
          <w:lang w:val="el-GR"/>
        </w:rPr>
        <w:lastRenderedPageBreak/>
        <w:t>ΟΡΙΣΜΟΙ</w:t>
      </w:r>
      <w:r w:rsidR="002640C3">
        <w:rPr>
          <w:rStyle w:val="a8"/>
          <w:rFonts w:asciiTheme="majorHAnsi" w:hAnsiTheme="majorHAnsi"/>
          <w:b/>
          <w:lang w:val="el-GR"/>
        </w:rPr>
        <w:footnoteReference w:id="8"/>
      </w:r>
    </w:p>
    <w:p w14:paraId="0AE3165D" w14:textId="6CA5F840" w:rsidR="00381A73" w:rsidRDefault="00381A73" w:rsidP="00381A73">
      <w:pPr>
        <w:tabs>
          <w:tab w:val="left" w:pos="1410"/>
        </w:tabs>
        <w:ind w:right="142"/>
        <w:rPr>
          <w:rFonts w:asciiTheme="majorHAnsi" w:hAnsiTheme="majorHAnsi"/>
          <w:b/>
          <w:lang w:val="el-GR"/>
        </w:rPr>
      </w:pPr>
    </w:p>
    <w:p w14:paraId="44DDB33E" w14:textId="77777777" w:rsidR="00381A73" w:rsidRPr="00381A73" w:rsidRDefault="00381A73" w:rsidP="00F007B6">
      <w:pPr>
        <w:ind w:right="142"/>
        <w:jc w:val="both"/>
        <w:rPr>
          <w:rFonts w:asciiTheme="majorHAnsi" w:hAnsiTheme="majorHAnsi"/>
          <w:b/>
          <w:lang w:val="el-GR"/>
        </w:rPr>
      </w:pPr>
      <w:r w:rsidRPr="002C7C23">
        <w:rPr>
          <w:b/>
          <w:i/>
          <w:lang w:val="el-GR"/>
        </w:rPr>
        <w:t xml:space="preserve">Πληθυσμός σε κίνδυνο φτώχειας ή </w:t>
      </w:r>
      <w:r w:rsidR="002C7C23">
        <w:rPr>
          <w:b/>
          <w:i/>
          <w:lang w:val="el-GR"/>
        </w:rPr>
        <w:t xml:space="preserve">σε </w:t>
      </w:r>
      <w:r w:rsidRPr="002C7C23">
        <w:rPr>
          <w:b/>
          <w:i/>
          <w:lang w:val="el-GR"/>
        </w:rPr>
        <w:t>κοινωνικό αποκλεισμό</w:t>
      </w:r>
      <w:r w:rsidRPr="00381A73">
        <w:rPr>
          <w:lang w:val="el-GR"/>
        </w:rPr>
        <w:t xml:space="preserve">: </w:t>
      </w:r>
      <w:r w:rsidR="0020260D">
        <w:rPr>
          <w:lang w:val="el-GR"/>
        </w:rPr>
        <w:t>ε</w:t>
      </w:r>
      <w:r w:rsidR="002C7C23">
        <w:rPr>
          <w:lang w:val="el-GR"/>
        </w:rPr>
        <w:t xml:space="preserve">ίναι ο </w:t>
      </w:r>
      <w:r w:rsidRPr="00381A73">
        <w:rPr>
          <w:lang w:val="el-GR"/>
        </w:rPr>
        <w:t xml:space="preserve">πληθυσμός </w:t>
      </w:r>
      <w:r w:rsidR="002C7C23">
        <w:rPr>
          <w:lang w:val="el-GR"/>
        </w:rPr>
        <w:t xml:space="preserve">που βρίσκεται </w:t>
      </w:r>
      <w:r w:rsidRPr="00381A73">
        <w:rPr>
          <w:lang w:val="el-GR"/>
        </w:rPr>
        <w:t xml:space="preserve">σε κίνδυνο φτώχειας ή </w:t>
      </w:r>
      <w:r w:rsidR="002C7C23">
        <w:rPr>
          <w:lang w:val="el-GR"/>
        </w:rPr>
        <w:t xml:space="preserve">διαβιεί σε νοικοκυριά </w:t>
      </w:r>
      <w:r w:rsidRPr="00381A73">
        <w:rPr>
          <w:lang w:val="el-GR"/>
        </w:rPr>
        <w:t>με υλικές στερήσεις (δηλαδή πληθυσμός που στερείται τουλάχιστον 4 από έναν κατάλογο 9 αγαθών και υπηρεσιών) ή διαβιεί σε νοικοκυριά με χαμηλή ένταση εργασίας (περισσότερες πληροφορίες στις επεξηγηματικές σημειώσεις).</w:t>
      </w:r>
    </w:p>
    <w:p w14:paraId="083239FA" w14:textId="77777777" w:rsidR="00D50F21" w:rsidRPr="00B55C58" w:rsidRDefault="00F007B6" w:rsidP="003A006D">
      <w:pPr>
        <w:ind w:right="142"/>
        <w:jc w:val="both"/>
        <w:rPr>
          <w:rFonts w:asciiTheme="majorHAnsi" w:eastAsia="Times New Roman" w:hAnsiTheme="majorHAnsi" w:cs="Arial"/>
          <w:i/>
          <w:lang w:val="el-GR" w:eastAsia="el-GR"/>
        </w:rPr>
      </w:pPr>
      <w:r>
        <w:rPr>
          <w:b/>
          <w:i/>
          <w:lang w:val="el-GR"/>
        </w:rPr>
        <w:t>Γ</w:t>
      </w:r>
      <w:r w:rsidR="00B55C58" w:rsidRPr="00B55C58">
        <w:rPr>
          <w:b/>
          <w:i/>
          <w:lang w:val="el-GR"/>
        </w:rPr>
        <w:t>ραμμή φτώχειας (το κατώφλι της φτώχειας)</w:t>
      </w:r>
      <w:r>
        <w:rPr>
          <w:b/>
          <w:i/>
          <w:lang w:val="el-GR"/>
        </w:rPr>
        <w:t xml:space="preserve">: </w:t>
      </w:r>
      <w:r w:rsidR="0020260D">
        <w:rPr>
          <w:lang w:val="el-GR"/>
        </w:rPr>
        <w:t>η</w:t>
      </w:r>
      <w:r w:rsidRPr="00F007B6">
        <w:rPr>
          <w:lang w:val="el-GR"/>
        </w:rPr>
        <w:t xml:space="preserve"> γραμμή της</w:t>
      </w:r>
      <w:r>
        <w:rPr>
          <w:lang w:val="el-GR"/>
        </w:rPr>
        <w:t xml:space="preserve"> </w:t>
      </w:r>
      <w:r w:rsidRPr="00F007B6">
        <w:rPr>
          <w:lang w:val="el-GR"/>
        </w:rPr>
        <w:t>φτώχειας</w:t>
      </w:r>
      <w:r w:rsidR="00B55C58" w:rsidRPr="00B55C58">
        <w:rPr>
          <w:lang w:val="el-GR"/>
        </w:rPr>
        <w:t xml:space="preserve"> </w:t>
      </w:r>
      <w:r>
        <w:rPr>
          <w:lang w:val="el-GR"/>
        </w:rPr>
        <w:t xml:space="preserve">(πρόκειται για τη σχετική φτώχεια: </w:t>
      </w:r>
      <w:r w:rsidR="00B55C58" w:rsidRPr="00B55C58">
        <w:rPr>
          <w:lang w:val="el-GR"/>
        </w:rPr>
        <w:t xml:space="preserve">φτωχός σε </w:t>
      </w:r>
      <w:r w:rsidR="0020260D">
        <w:rPr>
          <w:lang w:val="el-GR"/>
        </w:rPr>
        <w:t>σύγκριση</w:t>
      </w:r>
      <w:r w:rsidR="00B55C58" w:rsidRPr="00B55C58">
        <w:rPr>
          <w:lang w:val="el-GR"/>
        </w:rPr>
        <w:t xml:space="preserve"> με τους άλλους) ορίζεται στο 60% του διάμεσου ισοδύναμου συνολικού διαθέσιμου εισοδήματος του νοικοκυριού, με βάση την τροποποιημένη κλίμακα ισοδυναμίας του ΟΟΣΑ, διαφοροποιούμενη από την έννοια του κινδύνου της απόλυτης φτώχειας (ο φτωχός που στερείται βασικών μέσων επιβίωσης). Για τον υπολογισμό του συνολικού ισοδύναμου διαθέσιμου εισοδήματος του νοικοκυριού λαμβάνεται υπόψη το συνολικό καθαρό εισόδημα, δηλαδή το εισόδημα που προκύπτει μετά την αφαίρεση των φόρων και των εισφορών για κοινωνική ασφάλιση, που λαμβάνεται από όλα τα μέλη του νοικοκυριού.</w:t>
      </w:r>
    </w:p>
    <w:p w14:paraId="09E6E73E" w14:textId="77777777" w:rsidR="00D50F21" w:rsidRDefault="00F007B6" w:rsidP="003A006D">
      <w:pPr>
        <w:ind w:right="142"/>
        <w:jc w:val="both"/>
        <w:rPr>
          <w:lang w:val="el-GR"/>
        </w:rPr>
      </w:pPr>
      <w:r>
        <w:rPr>
          <w:b/>
          <w:i/>
          <w:lang w:val="el-GR"/>
        </w:rPr>
        <w:t>Ι</w:t>
      </w:r>
      <w:r w:rsidR="00D50F21" w:rsidRPr="00D50F21">
        <w:rPr>
          <w:b/>
          <w:i/>
          <w:lang w:val="el-GR"/>
        </w:rPr>
        <w:t>σοδύναμο διαθέσιμο ατομικό εισόδημα</w:t>
      </w:r>
      <w:r>
        <w:rPr>
          <w:b/>
          <w:i/>
          <w:lang w:val="el-GR"/>
        </w:rPr>
        <w:t>:</w:t>
      </w:r>
      <w:r w:rsidR="00D50F21" w:rsidRPr="00D50F21">
        <w:rPr>
          <w:lang w:val="el-GR"/>
        </w:rPr>
        <w:t xml:space="preserve"> ορίζεται το συνολικό διαθέσιμο εισόδημα του νοικοκυριού μετά τη διαίρεσή του με το ισοδύναμο μέγεθος του νοικοκυριού. Το ισοδύναμο μέγεθος του νοικοκυριού υπολογίζεται σύμφωνα με την τροποποιημένη κλίμακα του ΟΟΣΑ. Επισημαίνεται ότι στην κατανομή κατά άτομο θεωρείται, με βάση τον παραπάνω ορισμό, ότι το κάθε μέλος του νοικοκυριού κατέχει το ίδιο εισόδημα που αντιστοιχεί στο ισοδύναμο διαθέσιμο εισόδημα. Αυτό σημαίνει ότι το κάθε μέλος του νοικοκυριού απολαμβάνει το ίδιο επίπεδο διαβίωσης. Συνεπώς, στην κατά άτομο κατανομή, το εισόδημα που αποδίδεται σε κάθε άτομο δεν αντιπροσωπεύει χρηματική απολαβή, αλλά έναν δείκτη επιπέδου διαβίωσης. Το συνολικό διαθέσιμο εισόδημα ενός νοικοκυριού υπολογίζεται ως το άθροισμα των εισοδημάτων των μελών των νοικοκυριών (εισόδημα από μισθωτές υπηρεσίες, από αυτοαπασχόληση, συντάξεις, επιδόματα ανεργίας, εισόδημα από ακίνητη περιουσία, οικογενειακά επιδόματα, τακτικές χρηματικές </w:t>
      </w:r>
      <w:r w:rsidR="00D50F21" w:rsidRPr="00F4074C">
        <w:rPr>
          <w:lang w:val="el-GR"/>
        </w:rPr>
        <w:t>μεταβιβάσεις κ</w:t>
      </w:r>
      <w:r w:rsidR="00F15BC3" w:rsidRPr="00F4074C">
        <w:rPr>
          <w:lang w:val="el-GR"/>
        </w:rPr>
        <w:t>.</w:t>
      </w:r>
      <w:r w:rsidR="00D50F21" w:rsidRPr="00F4074C">
        <w:rPr>
          <w:lang w:val="el-GR"/>
        </w:rPr>
        <w:t xml:space="preserve">λπ.), </w:t>
      </w:r>
      <w:r w:rsidR="00D50F21" w:rsidRPr="00D50F21">
        <w:rPr>
          <w:lang w:val="el-GR"/>
        </w:rPr>
        <w:t>δηλαδή του συνόλου των καθαρών αποδοχών από όλες τις πηγές εισοδήματος μετά την αφαίρεση των τυχόν παροχών προς άλλα νοικοκυριά. Στο ποσό αυτό πρέπει να προστεθεί και ο φόρος που, ενδεχομένως, επιστράφηκε και αφορούσε στην εκκαθάριση των εισοδημάτων του προηγούμενου έτους.</w:t>
      </w:r>
    </w:p>
    <w:p w14:paraId="7A41EA92" w14:textId="77777777" w:rsidR="00F007B6" w:rsidRDefault="00F007B6" w:rsidP="00F007B6">
      <w:pPr>
        <w:ind w:right="142"/>
        <w:jc w:val="both"/>
        <w:rPr>
          <w:lang w:val="el-GR"/>
        </w:rPr>
      </w:pPr>
      <w:r w:rsidRPr="00F007B6">
        <w:rPr>
          <w:b/>
          <w:i/>
          <w:lang w:val="el-GR"/>
        </w:rPr>
        <w:t>Κοινωνικές μεταβιβάσεις</w:t>
      </w:r>
      <w:r>
        <w:rPr>
          <w:b/>
          <w:i/>
          <w:lang w:val="el-GR"/>
        </w:rPr>
        <w:t>:</w:t>
      </w:r>
      <w:r w:rsidRPr="002144EA">
        <w:rPr>
          <w:lang w:val="el-GR"/>
        </w:rPr>
        <w:t xml:space="preserve"> θεωρούνται τα κοινωνικά επιδόματα, δηλαδή η κοινωνική βοήθεια (Κοινωνικό Μέρισμα, Κοινωνικό Εισόδημα Αλληλεγγύης, ΕΚΑΣ, εισοδηματικές ενισχύσεις σε νοικοκυριά μόνιμων κατοίκων ορεινών και μειονεκτικών περιοχών, επίδομα μακροχρόνια ανέργων ηλικίας 20-66 </w:t>
      </w:r>
      <w:r w:rsidRPr="00F4074C">
        <w:rPr>
          <w:lang w:val="el-GR"/>
        </w:rPr>
        <w:t>ετών κ</w:t>
      </w:r>
      <w:r w:rsidR="00F15BC3" w:rsidRPr="00F4074C">
        <w:rPr>
          <w:lang w:val="el-GR"/>
        </w:rPr>
        <w:t>.</w:t>
      </w:r>
      <w:r w:rsidRPr="00F4074C">
        <w:rPr>
          <w:lang w:val="el-GR"/>
        </w:rPr>
        <w:t xml:space="preserve">λπ.), </w:t>
      </w:r>
      <w:r w:rsidRPr="002144EA">
        <w:rPr>
          <w:lang w:val="el-GR"/>
        </w:rPr>
        <w:t>τα οικογενειακά επιδόματα, τα επιδόματα/βοηθήματα ανεργίας, τα επιδόματα/βοηθήματα ασθένειας, τα επιδόματα/βοηθήματα αναπηρίας - ανικανότητας και οι εκπαιδευτικές παροχές και οι συντάξεις (δηλαδή συντάξεις γήρατος από εργασία και συντάξεις/βοηθήματα από τον/ τη σύζυγο).</w:t>
      </w:r>
    </w:p>
    <w:p w14:paraId="4DD0D3F5" w14:textId="77777777" w:rsidR="000514F1" w:rsidRDefault="000514F1" w:rsidP="003A006D">
      <w:pPr>
        <w:ind w:right="142"/>
        <w:jc w:val="both"/>
        <w:rPr>
          <w:lang w:val="el-GR"/>
        </w:rPr>
      </w:pPr>
      <w:r w:rsidRPr="00F007B6">
        <w:rPr>
          <w:b/>
          <w:i/>
          <w:lang w:val="el-GR"/>
        </w:rPr>
        <w:lastRenderedPageBreak/>
        <w:t>Κίνδυνος φτώχειας μετά τις κοινωνικές μεταβιβάσεις</w:t>
      </w:r>
      <w:r w:rsidR="00F007B6" w:rsidRPr="00F007B6">
        <w:rPr>
          <w:b/>
          <w:i/>
          <w:lang w:val="el-GR"/>
        </w:rPr>
        <w:t>:</w:t>
      </w:r>
      <w:r w:rsidR="00F007B6" w:rsidRPr="00F007B6">
        <w:rPr>
          <w:lang w:val="el-GR"/>
        </w:rPr>
        <w:t xml:space="preserve"> </w:t>
      </w:r>
      <w:r w:rsidRPr="000514F1">
        <w:rPr>
          <w:lang w:val="el-GR"/>
        </w:rPr>
        <w:t xml:space="preserve"> Ως κίνδυνος φτώχειας μετά τις κοινωνικές μεταβιβάσεις ορίζεται το ποσοστό των ατόμων που ζουν σε νοικοκυριά, των οποίων το συνολικό ισοδύναμο διαθέσιμο εισόδημα είναι χαμηλότερο του 60% του εθνικού διάμεσου ισοδύναμου διαθέσιμου εισοδήματος</w:t>
      </w:r>
      <w:r w:rsidR="00F007B6">
        <w:rPr>
          <w:lang w:val="el-GR"/>
        </w:rPr>
        <w:t>.</w:t>
      </w:r>
    </w:p>
    <w:p w14:paraId="5F602DA7" w14:textId="07F46C22" w:rsidR="00F007B6" w:rsidRDefault="002144EA" w:rsidP="003A006D">
      <w:pPr>
        <w:ind w:right="142"/>
        <w:jc w:val="both"/>
        <w:rPr>
          <w:lang w:val="el-GR"/>
        </w:rPr>
      </w:pPr>
      <w:r w:rsidRPr="00F007B6">
        <w:rPr>
          <w:b/>
          <w:i/>
          <w:lang w:val="el-GR"/>
        </w:rPr>
        <w:t>Κίνδυνος φτώχειας πριν τις κοινωνικές μεταβιβάσεις</w:t>
      </w:r>
      <w:r w:rsidR="00F007B6">
        <w:rPr>
          <w:b/>
          <w:i/>
          <w:lang w:val="el-GR"/>
        </w:rPr>
        <w:t>:</w:t>
      </w:r>
      <w:r w:rsidRPr="002144EA">
        <w:rPr>
          <w:lang w:val="el-GR"/>
        </w:rPr>
        <w:t xml:space="preserve"> Ως κίνδυνος φτώχειας π</w:t>
      </w:r>
      <w:r w:rsidR="00F007B6">
        <w:rPr>
          <w:lang w:val="el-GR"/>
        </w:rPr>
        <w:t xml:space="preserve">ριν τις κοινωνικές μεταβιβάσεις, </w:t>
      </w:r>
      <w:r w:rsidRPr="002144EA">
        <w:rPr>
          <w:lang w:val="el-GR"/>
        </w:rPr>
        <w:t xml:space="preserve">ορίζεται το ποσοστό των ατόμων που διαβιούν σε νοικοκυριά των οποίων το συνολικό ισοδύναμο διαθέσιμο εισόδημα </w:t>
      </w:r>
      <w:r w:rsidR="00F007B6" w:rsidRPr="002144EA">
        <w:rPr>
          <w:lang w:val="el-GR"/>
        </w:rPr>
        <w:t>(</w:t>
      </w:r>
      <w:r w:rsidR="00F007B6">
        <w:rPr>
          <w:lang w:val="el-GR"/>
        </w:rPr>
        <w:t>αφαιρώντας από αυτό τις κοινωνικές μεταβιβάσεις</w:t>
      </w:r>
      <w:r w:rsidR="00F007B6" w:rsidRPr="002144EA">
        <w:rPr>
          <w:lang w:val="el-GR"/>
        </w:rPr>
        <w:t xml:space="preserve">) </w:t>
      </w:r>
      <w:r w:rsidRPr="002144EA">
        <w:rPr>
          <w:lang w:val="el-GR"/>
        </w:rPr>
        <w:t>είναι μικρότερο του 60% του εθνικού διάμεσου ισοδύναμου διαθέσιμου εισοδήματος.</w:t>
      </w:r>
    </w:p>
    <w:p w14:paraId="07C43CBC" w14:textId="427DBC1A" w:rsidR="00F007B6" w:rsidRDefault="00381A73" w:rsidP="00381A73">
      <w:pPr>
        <w:ind w:right="142"/>
        <w:jc w:val="both"/>
        <w:rPr>
          <w:lang w:val="el-GR"/>
        </w:rPr>
      </w:pPr>
      <w:r w:rsidRPr="00F007B6">
        <w:rPr>
          <w:b/>
          <w:i/>
          <w:lang w:val="el-GR"/>
        </w:rPr>
        <w:t>Ποσοστό ατόμων με υλικές στερήσεις</w:t>
      </w:r>
      <w:r w:rsidR="00F007B6" w:rsidRPr="00F007B6">
        <w:rPr>
          <w:b/>
          <w:i/>
          <w:lang w:val="el-GR"/>
        </w:rPr>
        <w:t>:</w:t>
      </w:r>
      <w:r w:rsidR="00F007B6">
        <w:rPr>
          <w:b/>
          <w:lang w:val="el-GR"/>
        </w:rPr>
        <w:t xml:space="preserve"> </w:t>
      </w:r>
      <w:r w:rsidRPr="00381A73">
        <w:rPr>
          <w:lang w:val="el-GR"/>
        </w:rPr>
        <w:t xml:space="preserve"> Ο δείκτης «ποσοστό ατόμων με υλικές στερήσεις» εκτιμά τα επίπεδα διαβίωσης μετρώντας το ποσοστό του πληθυσμού που στερείται τουλάχιστον 4 από ένα κατάλογο 9 αγαθών και υπηρεσιών. - Δυσκολίες ανταπόκρισης στην πληρωμή πάγιων λογαριασμών όπως ενοίκιο ή δόση δανείου της κύριας κατοικίας, λογαριασμοί ηλεκτρικού ρεύματος, νερού, αερίου </w:t>
      </w:r>
      <w:r w:rsidRPr="00F4074C">
        <w:rPr>
          <w:lang w:val="el-GR"/>
        </w:rPr>
        <w:t>κ</w:t>
      </w:r>
      <w:r w:rsidR="00F15BC3" w:rsidRPr="00F4074C">
        <w:rPr>
          <w:lang w:val="el-GR"/>
        </w:rPr>
        <w:t>.</w:t>
      </w:r>
      <w:r w:rsidRPr="00F4074C">
        <w:rPr>
          <w:lang w:val="el-GR"/>
        </w:rPr>
        <w:t xml:space="preserve">λπ., δόσεις </w:t>
      </w:r>
      <w:r w:rsidRPr="00381A73">
        <w:rPr>
          <w:lang w:val="el-GR"/>
        </w:rPr>
        <w:t>πιστωτικών καρτών ή δόσεις δανείου για οικοσκευή, διακοπές κ.ά., ή αγορές με δόσεις - Οικονομική αδυναμία για πληρωμή μιας εβδομάδας διακοπών - Οικονομική αδυναμία για διατροφή που να περιλαμβάνει κάθε δεύτερη ημέρα κοτόπουλο, κρέας, ψάρι ή λαχανικά ίσης θρεπτικής αξίας - Οικονομική αδυναμία για αντιμετώπιση έκτακτων, αλλά αναγκαίων δαπανών αξίας περίπου 380 ευρώ - Οικονομική αδυναμία να διαθέτουν τηλέφωνο (περιλαμβάνεται και το κινητό τηλέφωνο) - Οικονομική αδυναμία να διαθέτουν έγχρωμη τηλεόραση - Οικονομική αδυναμία να διαθέτουν πλυντήριο ρούχων - Οικονομική αδυναμία να διαθέτουν ΙΧ επιβατηγό αυτοκίνητο και - Οικονομική αδυναμία για ικανοποιητική θέρμανση το χειμώνα και δροσιά το καλοκαίρι</w:t>
      </w:r>
      <w:r w:rsidR="00F4074C">
        <w:rPr>
          <w:lang w:val="el-GR"/>
        </w:rPr>
        <w:t>.</w:t>
      </w:r>
    </w:p>
    <w:p w14:paraId="0E5A9C57" w14:textId="77777777" w:rsidR="00381A73" w:rsidRPr="00381A73" w:rsidRDefault="00381A73" w:rsidP="00381A73">
      <w:pPr>
        <w:ind w:right="142"/>
        <w:jc w:val="both"/>
        <w:rPr>
          <w:rFonts w:asciiTheme="majorHAnsi" w:eastAsia="Times New Roman" w:hAnsiTheme="majorHAnsi" w:cs="Arial"/>
          <w:i/>
          <w:lang w:val="el-GR" w:eastAsia="el-GR"/>
        </w:rPr>
      </w:pPr>
      <w:r w:rsidRPr="00F007B6">
        <w:rPr>
          <w:b/>
          <w:i/>
          <w:lang w:val="el-GR"/>
        </w:rPr>
        <w:t>Ποσοστό πληθυσμού που διαβιεί σε νοικοκυρ</w:t>
      </w:r>
      <w:r w:rsidR="00F007B6" w:rsidRPr="00F007B6">
        <w:rPr>
          <w:b/>
          <w:i/>
          <w:lang w:val="el-GR"/>
        </w:rPr>
        <w:t>ιά με χαμηλή ένταση εργασίας:</w:t>
      </w:r>
      <w:r w:rsidR="00F007B6">
        <w:rPr>
          <w:lang w:val="el-GR"/>
        </w:rPr>
        <w:t xml:space="preserve"> Ο </w:t>
      </w:r>
      <w:r w:rsidRPr="00381A73">
        <w:rPr>
          <w:lang w:val="el-GR"/>
        </w:rPr>
        <w:t>δείκτης αναφέρεται στο ποσοστό πληθυσμού ηλικίας 0-59 που διαβιούν σε νοικοκυριά που τα μέλη τους εργάστηκαν λιγότερο από 20% της συνήθους απασχόλησης κατά τη διάρκεια του προηγούμενου έτους. Η ένταση εργασίας του νοικοκυριού ορίζεται ως ο λόγος μεταξύ του αριθμού των μηνών που όλα τα μέλη εργάζονται κατά το προηγούμενο έτος και του συνολικού αριθμού των μηνών που θα μπορούσαν θεωρητικά να έχουν εργαστεί κατά την ίδια περίοδο. Οικονομικά ενεργά μέλη θεωρούνται τα μέλη του νοικοκυριού ηλικίας 18-59 ετών. Τα νοικοκυριά που αποτελούνται μόνο από μαθητές ή σπουδαστές κ.λπ. κάτω των 25 ετών ή και άτομα ηλικίας 60 ετών και άνω εξαιρούνται από τον υπολογισμό του δείκτη.</w:t>
      </w:r>
    </w:p>
    <w:sectPr w:rsidR="00381A73" w:rsidRPr="00381A73" w:rsidSect="001B2554">
      <w:headerReference w:type="default" r:id="rId20"/>
      <w:footerReference w:type="default" r:id="rId21"/>
      <w:headerReference w:type="first" r:id="rId22"/>
      <w:footerReference w:type="first" r:id="rId23"/>
      <w:pgSz w:w="11906" w:h="16838" w:code="9"/>
      <w:pgMar w:top="2977" w:right="1559" w:bottom="144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82DA6" w14:textId="77777777" w:rsidR="000326C8" w:rsidRDefault="000326C8" w:rsidP="00B14FB2">
      <w:pPr>
        <w:spacing w:after="0" w:line="240" w:lineRule="auto"/>
      </w:pPr>
      <w:r>
        <w:separator/>
      </w:r>
    </w:p>
  </w:endnote>
  <w:endnote w:type="continuationSeparator" w:id="0">
    <w:p w14:paraId="653CA895" w14:textId="77777777" w:rsidR="000326C8" w:rsidRDefault="000326C8" w:rsidP="00B1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orgia">
    <w:altName w:val="﷽﷽﷽﷽﷽﷽﷽﷽Ϣ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6DBEC" w14:textId="77777777" w:rsidR="00757025" w:rsidRPr="006C7DBD" w:rsidRDefault="00757025" w:rsidP="00C975F8">
    <w:pPr>
      <w:pStyle w:val="a4"/>
      <w:ind w:left="-1701" w:right="140"/>
      <w:jc w:val="right"/>
      <w:rPr>
        <w:lang w:val="el-GR"/>
      </w:rPr>
    </w:pPr>
    <w:r w:rsidRPr="006C7DBD">
      <w:rPr>
        <w:rFonts w:asciiTheme="majorHAnsi" w:eastAsiaTheme="majorEastAsia" w:hAnsiTheme="majorHAnsi" w:cstheme="majorBidi"/>
        <w:sz w:val="20"/>
        <w:szCs w:val="20"/>
        <w:lang w:val="el-GR"/>
      </w:rPr>
      <w:t xml:space="preserve">σελ. </w:t>
    </w:r>
    <w:r w:rsidR="0084626E" w:rsidRPr="006C7DBD">
      <w:rPr>
        <w:rFonts w:eastAsiaTheme="minorEastAsia"/>
        <w:sz w:val="20"/>
        <w:szCs w:val="20"/>
        <w:lang w:val="el-GR"/>
      </w:rPr>
      <w:fldChar w:fldCharType="begin"/>
    </w:r>
    <w:r w:rsidRPr="006C7DBD">
      <w:rPr>
        <w:sz w:val="20"/>
        <w:szCs w:val="20"/>
        <w:lang w:val="el-GR"/>
      </w:rPr>
      <w:instrText>PAGE    \* MERGEFORMAT</w:instrText>
    </w:r>
    <w:r w:rsidR="0084626E" w:rsidRPr="006C7DBD">
      <w:rPr>
        <w:rFonts w:eastAsiaTheme="minorEastAsia"/>
        <w:sz w:val="20"/>
        <w:szCs w:val="20"/>
        <w:lang w:val="el-GR"/>
      </w:rPr>
      <w:fldChar w:fldCharType="separate"/>
    </w:r>
    <w:r w:rsidR="00343769" w:rsidRPr="00343769">
      <w:rPr>
        <w:rFonts w:eastAsiaTheme="minorEastAsia"/>
        <w:noProof/>
        <w:sz w:val="20"/>
        <w:szCs w:val="20"/>
        <w:lang w:val="el-GR"/>
      </w:rPr>
      <w:t>23</w:t>
    </w:r>
    <w:r w:rsidR="0084626E" w:rsidRPr="006C7DBD">
      <w:rPr>
        <w:rFonts w:asciiTheme="majorHAnsi" w:eastAsiaTheme="majorEastAsia" w:hAnsiTheme="majorHAnsi" w:cstheme="majorBidi"/>
        <w:sz w:val="20"/>
        <w:szCs w:val="20"/>
        <w:lang w:val="el-GR"/>
      </w:rPr>
      <w:fldChar w:fldCharType="end"/>
    </w:r>
  </w:p>
  <w:p w14:paraId="548FA707" w14:textId="77777777" w:rsidR="00757025" w:rsidRDefault="00757025">
    <w:pPr>
      <w:pStyle w:val="a4"/>
    </w:pPr>
    <w:r>
      <w:rPr>
        <w:noProof/>
        <w:lang w:val="el-GR" w:eastAsia="el-GR"/>
      </w:rPr>
      <w:drawing>
        <wp:inline distT="0" distB="0" distL="0" distR="0" wp14:anchorId="553B4ED2" wp14:editId="5F4B9E63">
          <wp:extent cx="5490845" cy="698986"/>
          <wp:effectExtent l="0" t="0" r="0" b="0"/>
          <wp:docPr id="39" name="Εικόνα 39"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5490845" cy="69898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8635C" w14:textId="77777777" w:rsidR="00757025" w:rsidRDefault="00757025">
    <w:pPr>
      <w:pStyle w:val="a4"/>
    </w:pPr>
    <w:r>
      <w:rPr>
        <w:noProof/>
        <w:lang w:val="el-GR" w:eastAsia="el-GR"/>
      </w:rPr>
      <w:drawing>
        <wp:inline distT="0" distB="0" distL="0" distR="0" wp14:anchorId="77A5479B" wp14:editId="1AB8FF98">
          <wp:extent cx="5490845" cy="698986"/>
          <wp:effectExtent l="0" t="0" r="0" b="0"/>
          <wp:docPr id="42" name="Εικόνα 4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5490845" cy="698986"/>
                  </a:xfrm>
                  <a:prstGeom prst="rect">
                    <a:avLst/>
                  </a:prstGeom>
                  <a:ln>
                    <a:noFill/>
                  </a:ln>
                  <a:extLst>
                    <a:ext uri="{53640926-AAD7-44D8-BBD7-CCE9431645EC}">
                      <a14:shadowObscured xmlns:a14="http://schemas.microsoft.com/office/drawing/2010/main"/>
                    </a:ext>
                  </a:extLst>
                </pic:spPr>
              </pic:pic>
            </a:graphicData>
          </a:graphic>
        </wp:inline>
      </w:drawing>
    </w:r>
  </w:p>
  <w:p w14:paraId="7708B7A1" w14:textId="77777777" w:rsidR="00757025" w:rsidRPr="00C975F8" w:rsidRDefault="00757025">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06EA2" w14:textId="77777777" w:rsidR="000326C8" w:rsidRDefault="000326C8" w:rsidP="00B14FB2">
      <w:pPr>
        <w:spacing w:after="0" w:line="240" w:lineRule="auto"/>
      </w:pPr>
      <w:r>
        <w:separator/>
      </w:r>
    </w:p>
  </w:footnote>
  <w:footnote w:type="continuationSeparator" w:id="0">
    <w:p w14:paraId="15B657EF" w14:textId="77777777" w:rsidR="000326C8" w:rsidRDefault="000326C8" w:rsidP="00B14FB2">
      <w:pPr>
        <w:spacing w:after="0" w:line="240" w:lineRule="auto"/>
      </w:pPr>
      <w:r>
        <w:continuationSeparator/>
      </w:r>
    </w:p>
  </w:footnote>
  <w:footnote w:id="1">
    <w:p w14:paraId="0E2DEA5F" w14:textId="16E3A017" w:rsidR="00757025" w:rsidRPr="00F4074C" w:rsidRDefault="00757025" w:rsidP="00F4074C">
      <w:pPr>
        <w:spacing w:after="120" w:line="240" w:lineRule="auto"/>
        <w:jc w:val="both"/>
        <w:rPr>
          <w:rFonts w:cstheme="minorHAnsi"/>
          <w:sz w:val="20"/>
          <w:szCs w:val="20"/>
          <w:lang w:val="el-GR"/>
        </w:rPr>
      </w:pPr>
      <w:r w:rsidRPr="00F4074C">
        <w:rPr>
          <w:rStyle w:val="a8"/>
          <w:rFonts w:cstheme="minorHAnsi"/>
          <w:sz w:val="20"/>
          <w:szCs w:val="20"/>
        </w:rPr>
        <w:footnoteRef/>
      </w:r>
      <w:r w:rsidRPr="00F4074C">
        <w:rPr>
          <w:rFonts w:cstheme="minorHAnsi"/>
          <w:sz w:val="20"/>
          <w:szCs w:val="20"/>
          <w:lang w:val="el-GR"/>
        </w:rPr>
        <w:t xml:space="preserve"> </w:t>
      </w:r>
      <w:r w:rsidRPr="00F4074C">
        <w:rPr>
          <w:rFonts w:eastAsia="Georgia" w:cstheme="minorHAnsi"/>
          <w:bCs/>
          <w:sz w:val="20"/>
          <w:szCs w:val="20"/>
          <w:lang w:val="el-GR"/>
        </w:rPr>
        <w:t>Οι συνταξιούχοι με και χωρίς αναπηρία δέχθηκαν σε σημαντικά μικρότερο βαθμό τις επιπτώσεις της οικονομικής κρίσης στην Ελλάδα συγκριτικά με τους μισθωτούς και τον άνεργο πληθυσμό. Τόσο στο γενικό πληθυσμό όσο και στα άτομα με αναπηρία- ο κίνδυνος φτώχειας ή κοινωνικού αποκλεισμού μειώνεται δραστικά μετά την ηλικία των 60 ετών.  Ωστόσο, η εκ των πραγμάτων υπερ-εκπροσώπηση των ηλικιών 65+ στον πληθυσμό των ατόμων με αναπηρία (καθώς η αναπηρία επέρχεται και ως απόρροια της γήρανσης), έχει ως συνέπεια ένα γενικό ποσοστό του δείκτη να συσκοτίζει την πραγματική εικόνα της φτώχειας και του αποκλεισμού στην κοινωνική κατηγορία των ατόμων με αναπηρία.</w:t>
      </w:r>
    </w:p>
  </w:footnote>
  <w:footnote w:id="2">
    <w:p w14:paraId="1284EF25" w14:textId="57B60F9A" w:rsidR="00757025" w:rsidRPr="00F4074C" w:rsidRDefault="00757025" w:rsidP="00F4074C">
      <w:pPr>
        <w:pStyle w:val="a7"/>
        <w:spacing w:after="120"/>
        <w:jc w:val="both"/>
        <w:rPr>
          <w:rFonts w:cstheme="minorHAnsi"/>
          <w:lang w:val="el-GR"/>
        </w:rPr>
      </w:pPr>
      <w:r w:rsidRPr="00F4074C">
        <w:rPr>
          <w:rFonts w:cstheme="minorHAnsi"/>
          <w:vertAlign w:val="superscript"/>
          <w:lang w:val="el-GR"/>
        </w:rPr>
        <w:footnoteRef/>
      </w:r>
      <w:r w:rsidRPr="00F4074C">
        <w:rPr>
          <w:rFonts w:cstheme="minorHAnsi"/>
          <w:lang w:val="el-GR"/>
        </w:rPr>
        <w:t xml:space="preserve"> </w:t>
      </w:r>
      <w:r w:rsidRPr="00F4074C">
        <w:rPr>
          <w:rFonts w:cstheme="minorHAnsi"/>
          <w:lang w:val="el-GR"/>
        </w:rPr>
        <w:t>Το κατώφλι της φτώχειας ορίζεται σήμερα στα 4.917 ευρώ ανά άτομο ενώ το 2008 ήταν 6.480 ευρώ. Αυτή η μεταβολή συνεπάγεται ότι τμήματα του πληθυσμού με ένα δεδομένο σταθερό ετήσιο εισόδημα, για παράδειγμα της τάξεως των 5.000 ευρώ, ενώ το 2008 εντάσσονταν στην κατηγορία των φτωχών, το 2019 δεν εξακολουθούν να κατατάσσονται κάτω από το όριο της φτώχειας.</w:t>
      </w:r>
    </w:p>
  </w:footnote>
  <w:footnote w:id="3">
    <w:p w14:paraId="10D70D80" w14:textId="77777777" w:rsidR="00757025" w:rsidRPr="00F4074C" w:rsidRDefault="00757025" w:rsidP="00F4074C">
      <w:pPr>
        <w:pStyle w:val="a7"/>
        <w:spacing w:after="120"/>
        <w:jc w:val="both"/>
        <w:rPr>
          <w:rFonts w:cstheme="minorHAnsi"/>
          <w:lang w:val="el-GR"/>
        </w:rPr>
      </w:pPr>
      <w:r w:rsidRPr="00F4074C">
        <w:rPr>
          <w:rFonts w:cstheme="minorHAnsi"/>
          <w:vertAlign w:val="superscript"/>
          <w:lang w:val="el-GR"/>
        </w:rPr>
        <w:footnoteRef/>
      </w:r>
      <w:r w:rsidRPr="00F4074C">
        <w:rPr>
          <w:rFonts w:cstheme="minorHAnsi"/>
          <w:lang w:val="el-GR"/>
        </w:rPr>
        <w:t>Προκειμένου να αντισταθμιστούν οι περιορισμοί του δείκτη γίνεται αρκετές φορές χρήση εναλλακτικών μεθόδων μέτρησης όπως ο υπολογισμός του δείκτη με σταθερό όριο φτώχειας όπως  το κατώφλι του έτους 2008, πληθωρισμένο με στοιχεία από τον εναρμονισμένο δείκτη τιμών καταναλωτή.</w:t>
      </w:r>
    </w:p>
  </w:footnote>
  <w:footnote w:id="4">
    <w:p w14:paraId="252D9DAD" w14:textId="77777777" w:rsidR="00757025" w:rsidRPr="00F4074C" w:rsidRDefault="00757025" w:rsidP="00F4074C">
      <w:pPr>
        <w:pStyle w:val="a7"/>
        <w:spacing w:after="120"/>
        <w:rPr>
          <w:rFonts w:cstheme="minorHAnsi"/>
          <w:lang w:val="el-GR"/>
        </w:rPr>
      </w:pPr>
      <w:r w:rsidRPr="00F4074C">
        <w:rPr>
          <w:rStyle w:val="a8"/>
          <w:rFonts w:cstheme="minorHAnsi"/>
        </w:rPr>
        <w:footnoteRef/>
      </w:r>
      <w:r w:rsidRPr="00F4074C">
        <w:rPr>
          <w:rFonts w:cstheme="minorHAnsi"/>
          <w:lang w:val="el-GR"/>
        </w:rPr>
        <w:t xml:space="preserve"> </w:t>
      </w:r>
      <w:r w:rsidR="00F55A5A" w:rsidRPr="00F4074C">
        <w:rPr>
          <w:rFonts w:cstheme="minorHAnsi"/>
          <w:lang w:val="el-GR"/>
        </w:rPr>
        <w:t>Ελληνική Στατιστική Αρχή, Δελτίο τύπου Κίνδυνος Φτώχειας, Έρευνα Εισοδήματος και Συνθηκών Διαβίωσης των Νοικοκυριών: Έτος 2019 (Περίοδος αναφοράς εισοδήματος: Έτος 2018). Πειραιάς, 19 Ιουνίου 2020.</w:t>
      </w:r>
    </w:p>
  </w:footnote>
  <w:footnote w:id="5">
    <w:p w14:paraId="6206B5D6" w14:textId="77777777" w:rsidR="00757025" w:rsidRPr="00F4074C" w:rsidRDefault="00757025" w:rsidP="00F4074C">
      <w:pPr>
        <w:pStyle w:val="a7"/>
        <w:spacing w:after="120"/>
        <w:jc w:val="both"/>
        <w:rPr>
          <w:rFonts w:cstheme="minorHAnsi"/>
          <w:lang w:val="el-GR"/>
        </w:rPr>
      </w:pPr>
      <w:r w:rsidRPr="00F4074C">
        <w:rPr>
          <w:rFonts w:cstheme="minorHAnsi"/>
          <w:vertAlign w:val="superscript"/>
          <w:lang w:val="el-GR"/>
        </w:rPr>
        <w:footnoteRef/>
      </w:r>
      <w:r w:rsidRPr="00F4074C">
        <w:rPr>
          <w:rFonts w:cstheme="minorHAnsi"/>
          <w:lang w:val="el-GR"/>
        </w:rPr>
        <w:t>Κοινωνικές μεταβιβάσεις θεωρούνται τα κοινωνικά επιδόματα, δηλαδή η κοινωνική  βοήθεια (Κοινωνικό Μέρισμα, Κοινωνικό Εισόδημα Αλληλεγγύης, ΕΚΑΣ, εισοδηματικές ενισχύσεις σε νοικοκυριά μόνιμων κατοίκων ορεινών και μειονεκτικών περιοχών, επίδομα μακροχρόνια ανέργων ηλικίας 20-66 ετών κλπ.), τα οικογενειακά επιδόματα, τα επιδόματα/βοηθήματα ανεργίας, τα επιδόματα/βοηθήματα ασθένειας, τα επιδόματα/  βοηθήματα αναπηρίας - ανικανότητας και οι εκπαιδευτικές παροχές και οι συντάξεις (δηλαδή συντάξεις γήρατος από εργασία και συντάξεις/βοηθήματα από τον/ τη σύζυγο)</w:t>
      </w:r>
      <w:r w:rsidR="00F55A5A" w:rsidRPr="00F4074C">
        <w:rPr>
          <w:rFonts w:cstheme="minorHAnsi"/>
          <w:lang w:val="el-GR"/>
        </w:rPr>
        <w:t>: Πηγή: Ελληνική Στατιστική Αρχή, Δελτίο τύπου Κίνδυνος Φτώχειας, Έρευνα Εισοδήματος και Συνθηκών Διαβίωσης των Νοικοκυριών: Έτος 2019 (Περίοδος αναφοράς εισοδήματος: Έτος 2018). Πειραιάς, 19 Ιουνίου 2020.</w:t>
      </w:r>
    </w:p>
  </w:footnote>
  <w:footnote w:id="6">
    <w:p w14:paraId="1BEDD9C9" w14:textId="66A4F5D3" w:rsidR="00757025" w:rsidRPr="00F4074C" w:rsidRDefault="00757025" w:rsidP="005F1F28">
      <w:pPr>
        <w:pStyle w:val="a7"/>
        <w:spacing w:after="120"/>
        <w:jc w:val="both"/>
        <w:rPr>
          <w:rFonts w:cstheme="minorHAnsi"/>
          <w:lang w:val="el-GR"/>
        </w:rPr>
      </w:pPr>
      <w:r w:rsidRPr="00F4074C">
        <w:rPr>
          <w:rStyle w:val="a8"/>
          <w:rFonts w:cstheme="minorHAnsi"/>
        </w:rPr>
        <w:footnoteRef/>
      </w:r>
      <w:r w:rsidRPr="00F4074C">
        <w:rPr>
          <w:rFonts w:cstheme="minorHAnsi"/>
          <w:lang w:val="el-GR"/>
        </w:rPr>
        <w:t xml:space="preserve"> </w:t>
      </w:r>
      <w:r w:rsidR="005F4B26" w:rsidRPr="00F4074C">
        <w:rPr>
          <w:rStyle w:val="tlid-translation"/>
          <w:rFonts w:cstheme="minorHAnsi"/>
          <w:lang w:val="el-GR"/>
        </w:rPr>
        <w:t>Πηγή</w:t>
      </w:r>
      <w:r w:rsidR="00FE194D" w:rsidRPr="00F4074C">
        <w:rPr>
          <w:rStyle w:val="tlid-translation"/>
          <w:rFonts w:cstheme="minorHAnsi"/>
          <w:lang w:val="el-GR"/>
        </w:rPr>
        <w:t xml:space="preserve"> δεδομένων για το Μέσο Διαθέσιμο Εισόδημα</w:t>
      </w:r>
      <w:r w:rsidR="005F4B26" w:rsidRPr="00F4074C">
        <w:rPr>
          <w:rStyle w:val="tlid-translation"/>
          <w:rFonts w:cstheme="minorHAnsi"/>
          <w:lang w:val="el-GR"/>
        </w:rPr>
        <w:t>: Ελληνική Στατιστική Αρχή, Δελτίο τύπου Κίνδυνος Φτώχειας, Έρευνα Εισοδήματος και Συνθηκών Διαβίωσης των Νοικοκυριών: Έτος 2019 (Περίοδος αναφοράς εισοδήματος: Έτος 2018). Πειραιάς, 19 Ιουνίου 2020.</w:t>
      </w:r>
    </w:p>
  </w:footnote>
  <w:footnote w:id="7">
    <w:p w14:paraId="44B16F15" w14:textId="1ECDE5BC" w:rsidR="00757025" w:rsidRPr="00F4074C" w:rsidRDefault="00757025" w:rsidP="00F4074C">
      <w:pPr>
        <w:spacing w:after="120" w:line="240" w:lineRule="auto"/>
        <w:jc w:val="both"/>
        <w:rPr>
          <w:rFonts w:cstheme="minorHAnsi"/>
          <w:sz w:val="20"/>
          <w:szCs w:val="20"/>
          <w:lang w:val="el-GR"/>
        </w:rPr>
      </w:pPr>
      <w:r w:rsidRPr="00F4074C">
        <w:rPr>
          <w:rStyle w:val="a8"/>
          <w:rFonts w:cstheme="minorHAnsi"/>
          <w:sz w:val="20"/>
          <w:szCs w:val="20"/>
        </w:rPr>
        <w:footnoteRef/>
      </w:r>
      <w:r w:rsidRPr="00F4074C">
        <w:rPr>
          <w:rFonts w:cstheme="minorHAnsi"/>
          <w:sz w:val="20"/>
          <w:szCs w:val="20"/>
          <w:lang w:val="el-GR"/>
        </w:rPr>
        <w:t xml:space="preserve"> </w:t>
      </w:r>
      <w:r w:rsidRPr="00F4074C">
        <w:rPr>
          <w:rFonts w:cstheme="minorHAnsi"/>
          <w:sz w:val="20"/>
          <w:szCs w:val="20"/>
          <w:lang w:val="el-GR"/>
        </w:rPr>
        <w:t>Τα αγαθά και οι υπηρεσίες που περιλαμβάνονται στον δείκτη είναι οι εξής: Δυσκολίες ανταπόκρισης στην πληρωμή πάγιων λογαριασμών, διακοπές μια εβδομάδα το χρόνο, κατανάλωση κρέατος ή ψαριού (ή λαχανικών ίσης θρεπτικής αξίας) κάθε δεύτερη μέρα, αντιμετώπιση έκτακτων δαπανών, τηλεφωνική σύνδεση (περιλαμβάνεται και το κινητό τηλέφωνο), έγχρωμη τηλεόραση, πλυντήριο ρούχων, Ι.Χ., ικανοποιητική θέρμανση τον χειμώνα και δροσιά το καλοκαίρι.</w:t>
      </w:r>
    </w:p>
  </w:footnote>
  <w:footnote w:id="8">
    <w:p w14:paraId="0EB55B26" w14:textId="2E17898D" w:rsidR="00757025" w:rsidRPr="00F4074C" w:rsidRDefault="00757025" w:rsidP="00F4074C">
      <w:pPr>
        <w:pStyle w:val="a7"/>
        <w:spacing w:after="120"/>
        <w:jc w:val="both"/>
        <w:rPr>
          <w:rFonts w:cstheme="minorHAnsi"/>
          <w:lang w:val="el-GR"/>
        </w:rPr>
      </w:pPr>
      <w:r w:rsidRPr="00F4074C">
        <w:rPr>
          <w:rStyle w:val="a8"/>
          <w:rFonts w:cstheme="minorHAnsi"/>
        </w:rPr>
        <w:footnoteRef/>
      </w:r>
      <w:r w:rsidRPr="00F4074C">
        <w:rPr>
          <w:rFonts w:cstheme="minorHAnsi"/>
          <w:lang w:val="el-GR"/>
        </w:rPr>
        <w:t xml:space="preserve"> </w:t>
      </w:r>
      <w:r w:rsidRPr="00F4074C">
        <w:rPr>
          <w:rStyle w:val="tlid-translation"/>
          <w:rFonts w:cstheme="minorHAnsi"/>
          <w:lang w:val="el-GR"/>
        </w:rPr>
        <w:t>Πηγή ορισμών: Ελληνική Στατιστική Αρχή, Δελτίο τύπου Κίνδυνος Φτώχειας, Έρευνα Εισοδήματος και Συνθηκών Διαβίωσης των Νοικοκυριών: Έτος 2019 (Περίοδος αναφοράς εισοδήματος: Έτος 2018). Πειραιάς, 19 Ιουνίου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D6FD1" w14:textId="77777777" w:rsidR="00757025" w:rsidRPr="00C975F8" w:rsidRDefault="00757025" w:rsidP="00D86E20">
    <w:pPr>
      <w:pStyle w:val="a3"/>
      <w:jc w:val="center"/>
    </w:pPr>
    <w:r>
      <w:rPr>
        <w:noProof/>
        <w:lang w:val="el-GR" w:eastAsia="el-GR"/>
      </w:rPr>
      <w:drawing>
        <wp:inline distT="0" distB="0" distL="0" distR="0" wp14:anchorId="2639B028" wp14:editId="0E27B724">
          <wp:extent cx="5490210" cy="947097"/>
          <wp:effectExtent l="0" t="0" r="0" b="0"/>
          <wp:docPr id="37" name="Εικόνα 37"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rotWithShape="1">
                  <a:blip r:embed="rId1">
                    <a:extLst>
                      <a:ext uri="{28A0092B-C50C-407E-A947-70E740481C1C}">
                        <a14:useLocalDpi xmlns:a14="http://schemas.microsoft.com/office/drawing/2010/main" val="0"/>
                      </a:ext>
                    </a:extLst>
                  </a:blip>
                  <a:srcRect b="9346"/>
                  <a:stretch/>
                </pic:blipFill>
                <pic:spPr bwMode="auto">
                  <a:xfrm>
                    <a:off x="0" y="0"/>
                    <a:ext cx="5490210" cy="947097"/>
                  </a:xfrm>
                  <a:prstGeom prst="rect">
                    <a:avLst/>
                  </a:prstGeom>
                  <a:ln>
                    <a:noFill/>
                  </a:ln>
                  <a:extLst>
                    <a:ext uri="{53640926-AAD7-44D8-BBD7-CCE9431645EC}">
                      <a14:shadowObscured xmlns:a14="http://schemas.microsoft.com/office/drawing/2010/main"/>
                    </a:ext>
                  </a:extLst>
                </pic:spPr>
              </pic:pic>
            </a:graphicData>
          </a:graphic>
        </wp:inline>
      </w:drawing>
    </w:r>
    <w:r>
      <w:rPr>
        <w:noProof/>
        <w:lang w:val="el-GR" w:eastAsia="el-GR"/>
      </w:rPr>
      <w:drawing>
        <wp:inline distT="0" distB="0" distL="0" distR="0" wp14:anchorId="24A993EE" wp14:editId="189CDF9D">
          <wp:extent cx="5400040" cy="647700"/>
          <wp:effectExtent l="0" t="0" r="0" b="0"/>
          <wp:docPr id="38" name="Εικόνα 38"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 r="688" b="3603"/>
                  <a:stretch/>
                </pic:blipFill>
                <pic:spPr bwMode="auto">
                  <a:xfrm>
                    <a:off x="0" y="0"/>
                    <a:ext cx="5400040" cy="6477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2D953" w14:textId="77777777" w:rsidR="00757025" w:rsidRDefault="00757025" w:rsidP="001E4AC0">
    <w:pPr>
      <w:pStyle w:val="a3"/>
      <w:spacing w:before="360"/>
      <w:ind w:left="-1701" w:right="-1298"/>
      <w:jc w:val="center"/>
    </w:pPr>
    <w:r>
      <w:rPr>
        <w:noProof/>
        <w:lang w:val="el-GR" w:eastAsia="el-GR"/>
      </w:rPr>
      <w:drawing>
        <wp:inline distT="0" distB="0" distL="0" distR="0" wp14:anchorId="73081C78" wp14:editId="19392600">
          <wp:extent cx="6644640" cy="906780"/>
          <wp:effectExtent l="0" t="0" r="3810" b="0"/>
          <wp:docPr id="40" name="Εικόνα 40" descr="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rotWithShape="1">
                  <a:blip r:embed="rId1">
                    <a:extLst>
                      <a:ext uri="{28A0092B-C50C-407E-A947-70E740481C1C}">
                        <a14:useLocalDpi xmlns:a14="http://schemas.microsoft.com/office/drawing/2010/main" val="0"/>
                      </a:ext>
                    </a:extLst>
                  </a:blip>
                  <a:srcRect b="9346"/>
                  <a:stretch/>
                </pic:blipFill>
                <pic:spPr bwMode="auto">
                  <a:xfrm>
                    <a:off x="0" y="0"/>
                    <a:ext cx="6647616" cy="907186"/>
                  </a:xfrm>
                  <a:prstGeom prst="rect">
                    <a:avLst/>
                  </a:prstGeom>
                  <a:ln>
                    <a:noFill/>
                  </a:ln>
                  <a:extLst>
                    <a:ext uri="{53640926-AAD7-44D8-BBD7-CCE9431645EC}">
                      <a14:shadowObscured xmlns:a14="http://schemas.microsoft.com/office/drawing/2010/main"/>
                    </a:ext>
                  </a:extLst>
                </pic:spPr>
              </pic:pic>
            </a:graphicData>
          </a:graphic>
        </wp:inline>
      </w:drawing>
    </w:r>
    <w:r>
      <w:rPr>
        <w:noProof/>
        <w:lang w:val="el-GR" w:eastAsia="el-GR"/>
      </w:rPr>
      <w:drawing>
        <wp:inline distT="0" distB="0" distL="0" distR="0" wp14:anchorId="407391F6" wp14:editId="2CB35A8B">
          <wp:extent cx="6187440" cy="876300"/>
          <wp:effectExtent l="0" t="0" r="3810" b="0"/>
          <wp:docPr id="41" name="Εικόνα 41" descr="Λογότυπο του Επιχειρησιακού Προγράμματος Ανάπτυξη Ανθρώπινου Δυναμικού, Εκπαίδευση και Διά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 r="688" b="3603"/>
                  <a:stretch/>
                </pic:blipFill>
                <pic:spPr bwMode="auto">
                  <a:xfrm>
                    <a:off x="0" y="0"/>
                    <a:ext cx="6187440" cy="8763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007C"/>
    <w:multiLevelType w:val="hybridMultilevel"/>
    <w:tmpl w:val="6C58DF08"/>
    <w:lvl w:ilvl="0" w:tplc="04080001">
      <w:start w:val="1"/>
      <w:numFmt w:val="bullet"/>
      <w:lvlText w:val=""/>
      <w:lvlJc w:val="left"/>
      <w:pPr>
        <w:ind w:left="360" w:hanging="360"/>
      </w:pPr>
      <w:rPr>
        <w:rFonts w:ascii="Symbol" w:hAnsi="Symbol" w:hint="default"/>
      </w:rPr>
    </w:lvl>
    <w:lvl w:ilvl="1" w:tplc="78028984" w:tentative="1">
      <w:start w:val="1"/>
      <w:numFmt w:val="bullet"/>
      <w:lvlText w:val="o"/>
      <w:lvlJc w:val="left"/>
      <w:pPr>
        <w:ind w:left="1080" w:hanging="360"/>
      </w:pPr>
      <w:rPr>
        <w:rFonts w:ascii="Courier New" w:hAnsi="Courier New" w:cs="Courier New" w:hint="default"/>
      </w:rPr>
    </w:lvl>
    <w:lvl w:ilvl="2" w:tplc="1D2C6532" w:tentative="1">
      <w:start w:val="1"/>
      <w:numFmt w:val="bullet"/>
      <w:lvlText w:val=""/>
      <w:lvlJc w:val="left"/>
      <w:pPr>
        <w:ind w:left="1800" w:hanging="360"/>
      </w:pPr>
      <w:rPr>
        <w:rFonts w:ascii="Wingdings" w:hAnsi="Wingdings" w:hint="default"/>
      </w:rPr>
    </w:lvl>
    <w:lvl w:ilvl="3" w:tplc="B6ECF536" w:tentative="1">
      <w:start w:val="1"/>
      <w:numFmt w:val="bullet"/>
      <w:lvlText w:val=""/>
      <w:lvlJc w:val="left"/>
      <w:pPr>
        <w:ind w:left="2520" w:hanging="360"/>
      </w:pPr>
      <w:rPr>
        <w:rFonts w:ascii="Symbol" w:hAnsi="Symbol" w:hint="default"/>
      </w:rPr>
    </w:lvl>
    <w:lvl w:ilvl="4" w:tplc="DE1A2D3C" w:tentative="1">
      <w:start w:val="1"/>
      <w:numFmt w:val="bullet"/>
      <w:lvlText w:val="o"/>
      <w:lvlJc w:val="left"/>
      <w:pPr>
        <w:ind w:left="3240" w:hanging="360"/>
      </w:pPr>
      <w:rPr>
        <w:rFonts w:ascii="Courier New" w:hAnsi="Courier New" w:cs="Courier New" w:hint="default"/>
      </w:rPr>
    </w:lvl>
    <w:lvl w:ilvl="5" w:tplc="BCC2DAEC" w:tentative="1">
      <w:start w:val="1"/>
      <w:numFmt w:val="bullet"/>
      <w:lvlText w:val=""/>
      <w:lvlJc w:val="left"/>
      <w:pPr>
        <w:ind w:left="3960" w:hanging="360"/>
      </w:pPr>
      <w:rPr>
        <w:rFonts w:ascii="Wingdings" w:hAnsi="Wingdings" w:hint="default"/>
      </w:rPr>
    </w:lvl>
    <w:lvl w:ilvl="6" w:tplc="3F4814AA" w:tentative="1">
      <w:start w:val="1"/>
      <w:numFmt w:val="bullet"/>
      <w:lvlText w:val=""/>
      <w:lvlJc w:val="left"/>
      <w:pPr>
        <w:ind w:left="4680" w:hanging="360"/>
      </w:pPr>
      <w:rPr>
        <w:rFonts w:ascii="Symbol" w:hAnsi="Symbol" w:hint="default"/>
      </w:rPr>
    </w:lvl>
    <w:lvl w:ilvl="7" w:tplc="2612DFFA" w:tentative="1">
      <w:start w:val="1"/>
      <w:numFmt w:val="bullet"/>
      <w:lvlText w:val="o"/>
      <w:lvlJc w:val="left"/>
      <w:pPr>
        <w:ind w:left="5400" w:hanging="360"/>
      </w:pPr>
      <w:rPr>
        <w:rFonts w:ascii="Courier New" w:hAnsi="Courier New" w:cs="Courier New" w:hint="default"/>
      </w:rPr>
    </w:lvl>
    <w:lvl w:ilvl="8" w:tplc="29981300" w:tentative="1">
      <w:start w:val="1"/>
      <w:numFmt w:val="bullet"/>
      <w:lvlText w:val=""/>
      <w:lvlJc w:val="left"/>
      <w:pPr>
        <w:ind w:left="6120" w:hanging="360"/>
      </w:pPr>
      <w:rPr>
        <w:rFonts w:ascii="Wingdings" w:hAnsi="Wingdings" w:hint="default"/>
      </w:rPr>
    </w:lvl>
  </w:abstractNum>
  <w:abstractNum w:abstractNumId="1" w15:restartNumberingAfterBreak="0">
    <w:nsid w:val="05BC30AA"/>
    <w:multiLevelType w:val="hybridMultilevel"/>
    <w:tmpl w:val="462A404A"/>
    <w:lvl w:ilvl="0" w:tplc="C2C0CF3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257323"/>
    <w:multiLevelType w:val="hybridMultilevel"/>
    <w:tmpl w:val="B51A4546"/>
    <w:lvl w:ilvl="0" w:tplc="C2C0CF3E">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3" w15:restartNumberingAfterBreak="0">
    <w:nsid w:val="184B2018"/>
    <w:multiLevelType w:val="hybridMultilevel"/>
    <w:tmpl w:val="FC305F98"/>
    <w:lvl w:ilvl="0" w:tplc="FAE4B2F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C67EBE"/>
    <w:multiLevelType w:val="hybridMultilevel"/>
    <w:tmpl w:val="0FD47D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A4A6FDE"/>
    <w:multiLevelType w:val="multilevel"/>
    <w:tmpl w:val="BA18DF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147D72"/>
    <w:multiLevelType w:val="hybridMultilevel"/>
    <w:tmpl w:val="CA14F43C"/>
    <w:lvl w:ilvl="0" w:tplc="3634CF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F6198"/>
    <w:multiLevelType w:val="hybridMultilevel"/>
    <w:tmpl w:val="9E3AA980"/>
    <w:lvl w:ilvl="0" w:tplc="C2C0CF3E">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8" w15:restartNumberingAfterBreak="0">
    <w:nsid w:val="494D6318"/>
    <w:multiLevelType w:val="multilevel"/>
    <w:tmpl w:val="04090025"/>
    <w:styleLink w:val="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B9C7062"/>
    <w:multiLevelType w:val="hybridMultilevel"/>
    <w:tmpl w:val="22C646A6"/>
    <w:lvl w:ilvl="0" w:tplc="BFDAB0EE">
      <w:start w:val="2"/>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F3A1F16"/>
    <w:multiLevelType w:val="hybridMultilevel"/>
    <w:tmpl w:val="8E0AA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9345672"/>
    <w:multiLevelType w:val="hybridMultilevel"/>
    <w:tmpl w:val="2572E5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70C91677"/>
    <w:multiLevelType w:val="hybridMultilevel"/>
    <w:tmpl w:val="147E6B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A666F82"/>
    <w:multiLevelType w:val="hybridMultilevel"/>
    <w:tmpl w:val="0994B7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13"/>
  </w:num>
  <w:num w:numId="6">
    <w:abstractNumId w:val="5"/>
  </w:num>
  <w:num w:numId="7">
    <w:abstractNumId w:val="9"/>
  </w:num>
  <w:num w:numId="8">
    <w:abstractNumId w:val="10"/>
  </w:num>
  <w:num w:numId="9">
    <w:abstractNumId w:val="4"/>
  </w:num>
  <w:num w:numId="10">
    <w:abstractNumId w:val="12"/>
  </w:num>
  <w:num w:numId="11">
    <w:abstractNumId w:val="11"/>
  </w:num>
  <w:num w:numId="12">
    <w:abstractNumId w:val="0"/>
  </w:num>
  <w:num w:numId="13">
    <w:abstractNumId w:val="3"/>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B2"/>
    <w:rsid w:val="00000401"/>
    <w:rsid w:val="00000F04"/>
    <w:rsid w:val="00001B0E"/>
    <w:rsid w:val="00001C48"/>
    <w:rsid w:val="0000287E"/>
    <w:rsid w:val="00004A64"/>
    <w:rsid w:val="00004F59"/>
    <w:rsid w:val="00006238"/>
    <w:rsid w:val="00010D6F"/>
    <w:rsid w:val="00011632"/>
    <w:rsid w:val="00013C12"/>
    <w:rsid w:val="00016989"/>
    <w:rsid w:val="0002091C"/>
    <w:rsid w:val="00020C87"/>
    <w:rsid w:val="000235A7"/>
    <w:rsid w:val="00023EA3"/>
    <w:rsid w:val="000251A7"/>
    <w:rsid w:val="00026DEE"/>
    <w:rsid w:val="0002706F"/>
    <w:rsid w:val="00027487"/>
    <w:rsid w:val="00027AA3"/>
    <w:rsid w:val="00030659"/>
    <w:rsid w:val="00030B66"/>
    <w:rsid w:val="000326C8"/>
    <w:rsid w:val="00032998"/>
    <w:rsid w:val="00033E31"/>
    <w:rsid w:val="0003410A"/>
    <w:rsid w:val="00034FCC"/>
    <w:rsid w:val="00035153"/>
    <w:rsid w:val="00036148"/>
    <w:rsid w:val="00036AFB"/>
    <w:rsid w:val="00036E31"/>
    <w:rsid w:val="000401D1"/>
    <w:rsid w:val="00040C1E"/>
    <w:rsid w:val="00040CA9"/>
    <w:rsid w:val="00044D92"/>
    <w:rsid w:val="00045C42"/>
    <w:rsid w:val="00046688"/>
    <w:rsid w:val="00047068"/>
    <w:rsid w:val="000476D6"/>
    <w:rsid w:val="0004785C"/>
    <w:rsid w:val="00050137"/>
    <w:rsid w:val="000514F1"/>
    <w:rsid w:val="00051811"/>
    <w:rsid w:val="00053EFC"/>
    <w:rsid w:val="000568F8"/>
    <w:rsid w:val="00056984"/>
    <w:rsid w:val="00057501"/>
    <w:rsid w:val="00057539"/>
    <w:rsid w:val="00057811"/>
    <w:rsid w:val="0005793A"/>
    <w:rsid w:val="000603B1"/>
    <w:rsid w:val="0006162C"/>
    <w:rsid w:val="00062552"/>
    <w:rsid w:val="00063077"/>
    <w:rsid w:val="00064787"/>
    <w:rsid w:val="00064DB2"/>
    <w:rsid w:val="000664D0"/>
    <w:rsid w:val="00066546"/>
    <w:rsid w:val="000674F2"/>
    <w:rsid w:val="00067CD5"/>
    <w:rsid w:val="00073C36"/>
    <w:rsid w:val="00074F40"/>
    <w:rsid w:val="00076819"/>
    <w:rsid w:val="000769FF"/>
    <w:rsid w:val="00080E7B"/>
    <w:rsid w:val="000817A1"/>
    <w:rsid w:val="00081EB3"/>
    <w:rsid w:val="00082630"/>
    <w:rsid w:val="00083EBB"/>
    <w:rsid w:val="00083F90"/>
    <w:rsid w:val="00091429"/>
    <w:rsid w:val="000928C5"/>
    <w:rsid w:val="00095D5C"/>
    <w:rsid w:val="00097592"/>
    <w:rsid w:val="000A3589"/>
    <w:rsid w:val="000A4359"/>
    <w:rsid w:val="000A67ED"/>
    <w:rsid w:val="000A7205"/>
    <w:rsid w:val="000B0FDE"/>
    <w:rsid w:val="000B3814"/>
    <w:rsid w:val="000B3D31"/>
    <w:rsid w:val="000B4243"/>
    <w:rsid w:val="000B4DF3"/>
    <w:rsid w:val="000B6438"/>
    <w:rsid w:val="000B7F76"/>
    <w:rsid w:val="000C037E"/>
    <w:rsid w:val="000C2646"/>
    <w:rsid w:val="000C28D2"/>
    <w:rsid w:val="000C318A"/>
    <w:rsid w:val="000C33EE"/>
    <w:rsid w:val="000C40F9"/>
    <w:rsid w:val="000C54CC"/>
    <w:rsid w:val="000C6F93"/>
    <w:rsid w:val="000C75E0"/>
    <w:rsid w:val="000C7AC1"/>
    <w:rsid w:val="000C7D79"/>
    <w:rsid w:val="000D3BE7"/>
    <w:rsid w:val="000D4C81"/>
    <w:rsid w:val="000D70C9"/>
    <w:rsid w:val="000E0E48"/>
    <w:rsid w:val="000E1B25"/>
    <w:rsid w:val="000E21F4"/>
    <w:rsid w:val="000E22CF"/>
    <w:rsid w:val="000E494A"/>
    <w:rsid w:val="000E4ABF"/>
    <w:rsid w:val="000E51F1"/>
    <w:rsid w:val="000E56E0"/>
    <w:rsid w:val="000E5ABB"/>
    <w:rsid w:val="000E6AC3"/>
    <w:rsid w:val="000E6AD4"/>
    <w:rsid w:val="000E7D00"/>
    <w:rsid w:val="000F057C"/>
    <w:rsid w:val="000F19A4"/>
    <w:rsid w:val="000F1BE8"/>
    <w:rsid w:val="000F20A7"/>
    <w:rsid w:val="000F464E"/>
    <w:rsid w:val="001001A5"/>
    <w:rsid w:val="001016BA"/>
    <w:rsid w:val="00101E3E"/>
    <w:rsid w:val="00102B01"/>
    <w:rsid w:val="00103585"/>
    <w:rsid w:val="0010411B"/>
    <w:rsid w:val="00104126"/>
    <w:rsid w:val="00105644"/>
    <w:rsid w:val="0010691C"/>
    <w:rsid w:val="00107885"/>
    <w:rsid w:val="00107C12"/>
    <w:rsid w:val="00107F11"/>
    <w:rsid w:val="0011470C"/>
    <w:rsid w:val="00114A1F"/>
    <w:rsid w:val="00115383"/>
    <w:rsid w:val="00117798"/>
    <w:rsid w:val="001178DE"/>
    <w:rsid w:val="00120801"/>
    <w:rsid w:val="001208F8"/>
    <w:rsid w:val="00121FC3"/>
    <w:rsid w:val="001220B2"/>
    <w:rsid w:val="00122357"/>
    <w:rsid w:val="001228E5"/>
    <w:rsid w:val="00122E0D"/>
    <w:rsid w:val="001241AA"/>
    <w:rsid w:val="00124938"/>
    <w:rsid w:val="00124A66"/>
    <w:rsid w:val="001254A2"/>
    <w:rsid w:val="00125908"/>
    <w:rsid w:val="00130F9F"/>
    <w:rsid w:val="00133290"/>
    <w:rsid w:val="00135C22"/>
    <w:rsid w:val="00136322"/>
    <w:rsid w:val="0013767A"/>
    <w:rsid w:val="001379D4"/>
    <w:rsid w:val="00137E34"/>
    <w:rsid w:val="001412B3"/>
    <w:rsid w:val="00141A47"/>
    <w:rsid w:val="00141FD5"/>
    <w:rsid w:val="00142759"/>
    <w:rsid w:val="00143650"/>
    <w:rsid w:val="00146455"/>
    <w:rsid w:val="0014671D"/>
    <w:rsid w:val="00147711"/>
    <w:rsid w:val="0014790E"/>
    <w:rsid w:val="00147AB1"/>
    <w:rsid w:val="00150307"/>
    <w:rsid w:val="00152A10"/>
    <w:rsid w:val="00155B1B"/>
    <w:rsid w:val="00156294"/>
    <w:rsid w:val="00156A87"/>
    <w:rsid w:val="001600E4"/>
    <w:rsid w:val="001612A5"/>
    <w:rsid w:val="001615F4"/>
    <w:rsid w:val="001623D3"/>
    <w:rsid w:val="00162860"/>
    <w:rsid w:val="00163E31"/>
    <w:rsid w:val="001647E0"/>
    <w:rsid w:val="00164C3B"/>
    <w:rsid w:val="0016570D"/>
    <w:rsid w:val="0016630F"/>
    <w:rsid w:val="00166C4F"/>
    <w:rsid w:val="00167E48"/>
    <w:rsid w:val="0017007C"/>
    <w:rsid w:val="00170112"/>
    <w:rsid w:val="00172F99"/>
    <w:rsid w:val="00173737"/>
    <w:rsid w:val="00173D7F"/>
    <w:rsid w:val="00174640"/>
    <w:rsid w:val="00175055"/>
    <w:rsid w:val="001755B7"/>
    <w:rsid w:val="00175766"/>
    <w:rsid w:val="0017715F"/>
    <w:rsid w:val="00177DE2"/>
    <w:rsid w:val="00180F0E"/>
    <w:rsid w:val="00181FA0"/>
    <w:rsid w:val="00182BD8"/>
    <w:rsid w:val="0018317E"/>
    <w:rsid w:val="001861A9"/>
    <w:rsid w:val="00190721"/>
    <w:rsid w:val="001912EA"/>
    <w:rsid w:val="00191617"/>
    <w:rsid w:val="00192299"/>
    <w:rsid w:val="0019273B"/>
    <w:rsid w:val="00192DE8"/>
    <w:rsid w:val="00193C8C"/>
    <w:rsid w:val="00195DDA"/>
    <w:rsid w:val="00195EFF"/>
    <w:rsid w:val="0019795A"/>
    <w:rsid w:val="00197F60"/>
    <w:rsid w:val="001A0A17"/>
    <w:rsid w:val="001A0DAE"/>
    <w:rsid w:val="001A0E0A"/>
    <w:rsid w:val="001A157B"/>
    <w:rsid w:val="001A2A51"/>
    <w:rsid w:val="001A4803"/>
    <w:rsid w:val="001A4B01"/>
    <w:rsid w:val="001A4B99"/>
    <w:rsid w:val="001A766F"/>
    <w:rsid w:val="001A78F7"/>
    <w:rsid w:val="001B1CE7"/>
    <w:rsid w:val="001B2554"/>
    <w:rsid w:val="001B2983"/>
    <w:rsid w:val="001B38E7"/>
    <w:rsid w:val="001B3FF5"/>
    <w:rsid w:val="001B5099"/>
    <w:rsid w:val="001C0348"/>
    <w:rsid w:val="001C03B2"/>
    <w:rsid w:val="001C086F"/>
    <w:rsid w:val="001C153F"/>
    <w:rsid w:val="001C1F90"/>
    <w:rsid w:val="001C3CFE"/>
    <w:rsid w:val="001C5C5D"/>
    <w:rsid w:val="001C6D9B"/>
    <w:rsid w:val="001C752A"/>
    <w:rsid w:val="001D00EE"/>
    <w:rsid w:val="001D0A17"/>
    <w:rsid w:val="001D137C"/>
    <w:rsid w:val="001D2A70"/>
    <w:rsid w:val="001D2EDD"/>
    <w:rsid w:val="001D3091"/>
    <w:rsid w:val="001D3672"/>
    <w:rsid w:val="001D37F3"/>
    <w:rsid w:val="001D5992"/>
    <w:rsid w:val="001D6A57"/>
    <w:rsid w:val="001D6FC1"/>
    <w:rsid w:val="001D74D2"/>
    <w:rsid w:val="001D764A"/>
    <w:rsid w:val="001E04ED"/>
    <w:rsid w:val="001E12EA"/>
    <w:rsid w:val="001E323F"/>
    <w:rsid w:val="001E4AC0"/>
    <w:rsid w:val="001E6AAF"/>
    <w:rsid w:val="001F4A63"/>
    <w:rsid w:val="001F52C8"/>
    <w:rsid w:val="001F63F0"/>
    <w:rsid w:val="001F6A5E"/>
    <w:rsid w:val="001F6EF6"/>
    <w:rsid w:val="001F7564"/>
    <w:rsid w:val="002002E3"/>
    <w:rsid w:val="00200BE7"/>
    <w:rsid w:val="0020258C"/>
    <w:rsid w:val="0020260D"/>
    <w:rsid w:val="00203EB7"/>
    <w:rsid w:val="00204642"/>
    <w:rsid w:val="00204986"/>
    <w:rsid w:val="002073FF"/>
    <w:rsid w:val="002116D5"/>
    <w:rsid w:val="00212CC9"/>
    <w:rsid w:val="00212FFF"/>
    <w:rsid w:val="00213404"/>
    <w:rsid w:val="002144EA"/>
    <w:rsid w:val="00214EBA"/>
    <w:rsid w:val="0021573C"/>
    <w:rsid w:val="00216669"/>
    <w:rsid w:val="0021728C"/>
    <w:rsid w:val="002201F2"/>
    <w:rsid w:val="00222527"/>
    <w:rsid w:val="00222C20"/>
    <w:rsid w:val="002250FA"/>
    <w:rsid w:val="00225304"/>
    <w:rsid w:val="00225305"/>
    <w:rsid w:val="00225537"/>
    <w:rsid w:val="002261CA"/>
    <w:rsid w:val="002269B0"/>
    <w:rsid w:val="00227C7F"/>
    <w:rsid w:val="00227ECE"/>
    <w:rsid w:val="002309C0"/>
    <w:rsid w:val="00230FEB"/>
    <w:rsid w:val="002313EC"/>
    <w:rsid w:val="00231D4F"/>
    <w:rsid w:val="00231F2B"/>
    <w:rsid w:val="00232921"/>
    <w:rsid w:val="00232D4D"/>
    <w:rsid w:val="00235081"/>
    <w:rsid w:val="002350D8"/>
    <w:rsid w:val="002358EA"/>
    <w:rsid w:val="00235D14"/>
    <w:rsid w:val="002369C6"/>
    <w:rsid w:val="00237E8E"/>
    <w:rsid w:val="0024363C"/>
    <w:rsid w:val="00244749"/>
    <w:rsid w:val="00245176"/>
    <w:rsid w:val="00246EDE"/>
    <w:rsid w:val="00247073"/>
    <w:rsid w:val="002521B4"/>
    <w:rsid w:val="00254B70"/>
    <w:rsid w:val="00255BAD"/>
    <w:rsid w:val="00257015"/>
    <w:rsid w:val="00257BD8"/>
    <w:rsid w:val="00260620"/>
    <w:rsid w:val="00260D0E"/>
    <w:rsid w:val="002640C3"/>
    <w:rsid w:val="0026429F"/>
    <w:rsid w:val="002648EF"/>
    <w:rsid w:val="0026536B"/>
    <w:rsid w:val="002653D4"/>
    <w:rsid w:val="002669F4"/>
    <w:rsid w:val="00267765"/>
    <w:rsid w:val="002679EF"/>
    <w:rsid w:val="002710F5"/>
    <w:rsid w:val="00271EC1"/>
    <w:rsid w:val="00273C2C"/>
    <w:rsid w:val="00273E07"/>
    <w:rsid w:val="00275014"/>
    <w:rsid w:val="00275553"/>
    <w:rsid w:val="0027752E"/>
    <w:rsid w:val="00281166"/>
    <w:rsid w:val="00282458"/>
    <w:rsid w:val="002835DA"/>
    <w:rsid w:val="00283ECB"/>
    <w:rsid w:val="00285961"/>
    <w:rsid w:val="00290406"/>
    <w:rsid w:val="00291A1F"/>
    <w:rsid w:val="0029276C"/>
    <w:rsid w:val="00293743"/>
    <w:rsid w:val="0029431E"/>
    <w:rsid w:val="002943E5"/>
    <w:rsid w:val="00294795"/>
    <w:rsid w:val="002956E5"/>
    <w:rsid w:val="002A09DB"/>
    <w:rsid w:val="002A1383"/>
    <w:rsid w:val="002A1C99"/>
    <w:rsid w:val="002A3AA8"/>
    <w:rsid w:val="002A4671"/>
    <w:rsid w:val="002A52C8"/>
    <w:rsid w:val="002A5E5A"/>
    <w:rsid w:val="002A7F9A"/>
    <w:rsid w:val="002B0AD5"/>
    <w:rsid w:val="002B0F74"/>
    <w:rsid w:val="002B16EC"/>
    <w:rsid w:val="002B292D"/>
    <w:rsid w:val="002B2E7D"/>
    <w:rsid w:val="002B316F"/>
    <w:rsid w:val="002B508B"/>
    <w:rsid w:val="002B59B0"/>
    <w:rsid w:val="002B6A65"/>
    <w:rsid w:val="002B6E3E"/>
    <w:rsid w:val="002C0A1C"/>
    <w:rsid w:val="002C0BE8"/>
    <w:rsid w:val="002C2221"/>
    <w:rsid w:val="002C2572"/>
    <w:rsid w:val="002C47EE"/>
    <w:rsid w:val="002C4D68"/>
    <w:rsid w:val="002C52CE"/>
    <w:rsid w:val="002C5A76"/>
    <w:rsid w:val="002C5DE1"/>
    <w:rsid w:val="002C71A4"/>
    <w:rsid w:val="002C75E5"/>
    <w:rsid w:val="002C7C23"/>
    <w:rsid w:val="002D072A"/>
    <w:rsid w:val="002D0B63"/>
    <w:rsid w:val="002D1D04"/>
    <w:rsid w:val="002D2023"/>
    <w:rsid w:val="002D2673"/>
    <w:rsid w:val="002D3EEB"/>
    <w:rsid w:val="002D40C5"/>
    <w:rsid w:val="002D679C"/>
    <w:rsid w:val="002D7418"/>
    <w:rsid w:val="002D7B7A"/>
    <w:rsid w:val="002E13B5"/>
    <w:rsid w:val="002E161F"/>
    <w:rsid w:val="002E3124"/>
    <w:rsid w:val="002E3266"/>
    <w:rsid w:val="002E378C"/>
    <w:rsid w:val="002E45AD"/>
    <w:rsid w:val="002E5997"/>
    <w:rsid w:val="002E6272"/>
    <w:rsid w:val="002E70E3"/>
    <w:rsid w:val="002E7B62"/>
    <w:rsid w:val="002F00F5"/>
    <w:rsid w:val="002F1E9B"/>
    <w:rsid w:val="002F1EC5"/>
    <w:rsid w:val="002F2388"/>
    <w:rsid w:val="002F4B34"/>
    <w:rsid w:val="002F56E7"/>
    <w:rsid w:val="002F5C47"/>
    <w:rsid w:val="002F5DEA"/>
    <w:rsid w:val="002F77B6"/>
    <w:rsid w:val="00300331"/>
    <w:rsid w:val="00301453"/>
    <w:rsid w:val="00301FD6"/>
    <w:rsid w:val="0030347E"/>
    <w:rsid w:val="00303E53"/>
    <w:rsid w:val="0030416A"/>
    <w:rsid w:val="00305F28"/>
    <w:rsid w:val="00306F87"/>
    <w:rsid w:val="003070F3"/>
    <w:rsid w:val="00315B61"/>
    <w:rsid w:val="003161F4"/>
    <w:rsid w:val="00316412"/>
    <w:rsid w:val="00316833"/>
    <w:rsid w:val="00316B0A"/>
    <w:rsid w:val="00317A10"/>
    <w:rsid w:val="00317D0D"/>
    <w:rsid w:val="00317ED8"/>
    <w:rsid w:val="003201B9"/>
    <w:rsid w:val="00323EF5"/>
    <w:rsid w:val="00324516"/>
    <w:rsid w:val="003276EB"/>
    <w:rsid w:val="00331DFE"/>
    <w:rsid w:val="0033245E"/>
    <w:rsid w:val="003330EA"/>
    <w:rsid w:val="00333438"/>
    <w:rsid w:val="00333895"/>
    <w:rsid w:val="00335BE3"/>
    <w:rsid w:val="003361D5"/>
    <w:rsid w:val="00336623"/>
    <w:rsid w:val="00337707"/>
    <w:rsid w:val="00341B31"/>
    <w:rsid w:val="003436DD"/>
    <w:rsid w:val="00343769"/>
    <w:rsid w:val="00343876"/>
    <w:rsid w:val="0034403A"/>
    <w:rsid w:val="003460F2"/>
    <w:rsid w:val="00347356"/>
    <w:rsid w:val="003478A0"/>
    <w:rsid w:val="00347FD2"/>
    <w:rsid w:val="00351FD5"/>
    <w:rsid w:val="00352D70"/>
    <w:rsid w:val="003530C9"/>
    <w:rsid w:val="003533B1"/>
    <w:rsid w:val="003533DE"/>
    <w:rsid w:val="003572AC"/>
    <w:rsid w:val="0036077E"/>
    <w:rsid w:val="00360CB7"/>
    <w:rsid w:val="00360F1B"/>
    <w:rsid w:val="003621D5"/>
    <w:rsid w:val="003626C7"/>
    <w:rsid w:val="00362E4B"/>
    <w:rsid w:val="003638B2"/>
    <w:rsid w:val="00363FF6"/>
    <w:rsid w:val="003645F9"/>
    <w:rsid w:val="003652B9"/>
    <w:rsid w:val="00365324"/>
    <w:rsid w:val="00365AD7"/>
    <w:rsid w:val="0036626B"/>
    <w:rsid w:val="00367060"/>
    <w:rsid w:val="00372803"/>
    <w:rsid w:val="00372818"/>
    <w:rsid w:val="00377025"/>
    <w:rsid w:val="003775B4"/>
    <w:rsid w:val="003800AB"/>
    <w:rsid w:val="00380183"/>
    <w:rsid w:val="00381A73"/>
    <w:rsid w:val="00382583"/>
    <w:rsid w:val="00382CC6"/>
    <w:rsid w:val="00382EFA"/>
    <w:rsid w:val="003855FE"/>
    <w:rsid w:val="0038573B"/>
    <w:rsid w:val="00385E69"/>
    <w:rsid w:val="003910F9"/>
    <w:rsid w:val="0039264E"/>
    <w:rsid w:val="00394F81"/>
    <w:rsid w:val="00397072"/>
    <w:rsid w:val="00397972"/>
    <w:rsid w:val="00397A70"/>
    <w:rsid w:val="003A006D"/>
    <w:rsid w:val="003A0D20"/>
    <w:rsid w:val="003A1BE5"/>
    <w:rsid w:val="003A3495"/>
    <w:rsid w:val="003A4054"/>
    <w:rsid w:val="003A48E6"/>
    <w:rsid w:val="003A599D"/>
    <w:rsid w:val="003A5D8D"/>
    <w:rsid w:val="003A6C73"/>
    <w:rsid w:val="003A7E34"/>
    <w:rsid w:val="003B1441"/>
    <w:rsid w:val="003B41D9"/>
    <w:rsid w:val="003B4A60"/>
    <w:rsid w:val="003B4C8A"/>
    <w:rsid w:val="003B4D49"/>
    <w:rsid w:val="003B52E6"/>
    <w:rsid w:val="003B731F"/>
    <w:rsid w:val="003C0900"/>
    <w:rsid w:val="003C0A09"/>
    <w:rsid w:val="003C0C5D"/>
    <w:rsid w:val="003C1230"/>
    <w:rsid w:val="003C4A75"/>
    <w:rsid w:val="003C5D81"/>
    <w:rsid w:val="003D06FB"/>
    <w:rsid w:val="003D41C5"/>
    <w:rsid w:val="003D6928"/>
    <w:rsid w:val="003D722C"/>
    <w:rsid w:val="003E0A03"/>
    <w:rsid w:val="003E5906"/>
    <w:rsid w:val="003E668B"/>
    <w:rsid w:val="003E6C76"/>
    <w:rsid w:val="003E7456"/>
    <w:rsid w:val="003E76B6"/>
    <w:rsid w:val="003F12F6"/>
    <w:rsid w:val="003F2D35"/>
    <w:rsid w:val="003F3C89"/>
    <w:rsid w:val="003F4529"/>
    <w:rsid w:val="003F5690"/>
    <w:rsid w:val="003F79E1"/>
    <w:rsid w:val="00400995"/>
    <w:rsid w:val="00400C58"/>
    <w:rsid w:val="00401F78"/>
    <w:rsid w:val="00401FCA"/>
    <w:rsid w:val="004021EE"/>
    <w:rsid w:val="004026A8"/>
    <w:rsid w:val="00402869"/>
    <w:rsid w:val="00402980"/>
    <w:rsid w:val="00403970"/>
    <w:rsid w:val="004047E3"/>
    <w:rsid w:val="004051C2"/>
    <w:rsid w:val="00406905"/>
    <w:rsid w:val="004075FF"/>
    <w:rsid w:val="004118D1"/>
    <w:rsid w:val="00411B16"/>
    <w:rsid w:val="00411EDC"/>
    <w:rsid w:val="0041241D"/>
    <w:rsid w:val="004124FE"/>
    <w:rsid w:val="00412EF4"/>
    <w:rsid w:val="00413974"/>
    <w:rsid w:val="00414EA5"/>
    <w:rsid w:val="00415ED7"/>
    <w:rsid w:val="0041790F"/>
    <w:rsid w:val="00420445"/>
    <w:rsid w:val="0042213A"/>
    <w:rsid w:val="00425E78"/>
    <w:rsid w:val="00426F39"/>
    <w:rsid w:val="00432806"/>
    <w:rsid w:val="004338AF"/>
    <w:rsid w:val="00433BB2"/>
    <w:rsid w:val="00433F23"/>
    <w:rsid w:val="004350D0"/>
    <w:rsid w:val="004354CC"/>
    <w:rsid w:val="00435882"/>
    <w:rsid w:val="00436797"/>
    <w:rsid w:val="00437DAE"/>
    <w:rsid w:val="00437DF9"/>
    <w:rsid w:val="00441911"/>
    <w:rsid w:val="00442933"/>
    <w:rsid w:val="004436CA"/>
    <w:rsid w:val="00444E74"/>
    <w:rsid w:val="00450210"/>
    <w:rsid w:val="004512FC"/>
    <w:rsid w:val="00451BC5"/>
    <w:rsid w:val="00451C05"/>
    <w:rsid w:val="00455D7B"/>
    <w:rsid w:val="004609C3"/>
    <w:rsid w:val="00460A4C"/>
    <w:rsid w:val="00460C31"/>
    <w:rsid w:val="004621F5"/>
    <w:rsid w:val="00462C69"/>
    <w:rsid w:val="004645B2"/>
    <w:rsid w:val="004706AA"/>
    <w:rsid w:val="00474407"/>
    <w:rsid w:val="00477EED"/>
    <w:rsid w:val="00480C39"/>
    <w:rsid w:val="004814FD"/>
    <w:rsid w:val="00481697"/>
    <w:rsid w:val="00481743"/>
    <w:rsid w:val="00482356"/>
    <w:rsid w:val="00482515"/>
    <w:rsid w:val="00482E4F"/>
    <w:rsid w:val="004830CA"/>
    <w:rsid w:val="0048373F"/>
    <w:rsid w:val="00483A56"/>
    <w:rsid w:val="00484316"/>
    <w:rsid w:val="0048470E"/>
    <w:rsid w:val="00484A6E"/>
    <w:rsid w:val="0048558A"/>
    <w:rsid w:val="0048585E"/>
    <w:rsid w:val="00485C27"/>
    <w:rsid w:val="0049151C"/>
    <w:rsid w:val="004940EC"/>
    <w:rsid w:val="00494798"/>
    <w:rsid w:val="00497856"/>
    <w:rsid w:val="004A11C5"/>
    <w:rsid w:val="004A1ACF"/>
    <w:rsid w:val="004A24E5"/>
    <w:rsid w:val="004A2FA3"/>
    <w:rsid w:val="004A4C17"/>
    <w:rsid w:val="004A60B7"/>
    <w:rsid w:val="004A6923"/>
    <w:rsid w:val="004B1F01"/>
    <w:rsid w:val="004B2C6E"/>
    <w:rsid w:val="004B2CB0"/>
    <w:rsid w:val="004B3D97"/>
    <w:rsid w:val="004B4CE9"/>
    <w:rsid w:val="004B58EB"/>
    <w:rsid w:val="004B679B"/>
    <w:rsid w:val="004C01B4"/>
    <w:rsid w:val="004C09FE"/>
    <w:rsid w:val="004C0E44"/>
    <w:rsid w:val="004C17B4"/>
    <w:rsid w:val="004C1DBD"/>
    <w:rsid w:val="004C332A"/>
    <w:rsid w:val="004C493F"/>
    <w:rsid w:val="004C5414"/>
    <w:rsid w:val="004C61CC"/>
    <w:rsid w:val="004C750D"/>
    <w:rsid w:val="004D139C"/>
    <w:rsid w:val="004D350F"/>
    <w:rsid w:val="004D46EB"/>
    <w:rsid w:val="004D49D2"/>
    <w:rsid w:val="004D5455"/>
    <w:rsid w:val="004D5E86"/>
    <w:rsid w:val="004D620B"/>
    <w:rsid w:val="004D6D0C"/>
    <w:rsid w:val="004E0417"/>
    <w:rsid w:val="004E0BF7"/>
    <w:rsid w:val="004E0F51"/>
    <w:rsid w:val="004E12F3"/>
    <w:rsid w:val="004E197B"/>
    <w:rsid w:val="004E27F8"/>
    <w:rsid w:val="004E50C9"/>
    <w:rsid w:val="004E6498"/>
    <w:rsid w:val="004E71C3"/>
    <w:rsid w:val="004E73A2"/>
    <w:rsid w:val="004F0089"/>
    <w:rsid w:val="004F00E1"/>
    <w:rsid w:val="004F08D5"/>
    <w:rsid w:val="004F10BA"/>
    <w:rsid w:val="004F16AA"/>
    <w:rsid w:val="004F2C04"/>
    <w:rsid w:val="004F2E54"/>
    <w:rsid w:val="004F3A27"/>
    <w:rsid w:val="004F4406"/>
    <w:rsid w:val="004F4D05"/>
    <w:rsid w:val="004F4F99"/>
    <w:rsid w:val="00502F99"/>
    <w:rsid w:val="00504767"/>
    <w:rsid w:val="00505FCA"/>
    <w:rsid w:val="00511365"/>
    <w:rsid w:val="00511397"/>
    <w:rsid w:val="005127E0"/>
    <w:rsid w:val="00513B57"/>
    <w:rsid w:val="00513D40"/>
    <w:rsid w:val="005146A2"/>
    <w:rsid w:val="005150B8"/>
    <w:rsid w:val="005164F5"/>
    <w:rsid w:val="00516A9A"/>
    <w:rsid w:val="00516B04"/>
    <w:rsid w:val="005219CB"/>
    <w:rsid w:val="00521BB5"/>
    <w:rsid w:val="00521DDF"/>
    <w:rsid w:val="00522FD7"/>
    <w:rsid w:val="005242B7"/>
    <w:rsid w:val="00527F5B"/>
    <w:rsid w:val="00530E74"/>
    <w:rsid w:val="005312F9"/>
    <w:rsid w:val="0053212E"/>
    <w:rsid w:val="00536239"/>
    <w:rsid w:val="0054186C"/>
    <w:rsid w:val="00542105"/>
    <w:rsid w:val="00542541"/>
    <w:rsid w:val="00542583"/>
    <w:rsid w:val="00544395"/>
    <w:rsid w:val="00544537"/>
    <w:rsid w:val="00544E8D"/>
    <w:rsid w:val="005452E8"/>
    <w:rsid w:val="00545B7C"/>
    <w:rsid w:val="00550DC9"/>
    <w:rsid w:val="00550E07"/>
    <w:rsid w:val="00551336"/>
    <w:rsid w:val="00554C4F"/>
    <w:rsid w:val="00554D67"/>
    <w:rsid w:val="0055668F"/>
    <w:rsid w:val="00556F7D"/>
    <w:rsid w:val="00557CA0"/>
    <w:rsid w:val="00557E2A"/>
    <w:rsid w:val="005603BC"/>
    <w:rsid w:val="005605B6"/>
    <w:rsid w:val="005633DD"/>
    <w:rsid w:val="00564A98"/>
    <w:rsid w:val="00566AFF"/>
    <w:rsid w:val="00567189"/>
    <w:rsid w:val="005702E1"/>
    <w:rsid w:val="00570B2E"/>
    <w:rsid w:val="00571304"/>
    <w:rsid w:val="00571ABE"/>
    <w:rsid w:val="005723E4"/>
    <w:rsid w:val="00574351"/>
    <w:rsid w:val="00574487"/>
    <w:rsid w:val="00574E70"/>
    <w:rsid w:val="00576A71"/>
    <w:rsid w:val="0057786D"/>
    <w:rsid w:val="0058101A"/>
    <w:rsid w:val="00581031"/>
    <w:rsid w:val="00581398"/>
    <w:rsid w:val="00581AD6"/>
    <w:rsid w:val="005862C2"/>
    <w:rsid w:val="0058655B"/>
    <w:rsid w:val="00586AE7"/>
    <w:rsid w:val="00587F16"/>
    <w:rsid w:val="00590E56"/>
    <w:rsid w:val="005919BA"/>
    <w:rsid w:val="005922C2"/>
    <w:rsid w:val="0059344F"/>
    <w:rsid w:val="005940C2"/>
    <w:rsid w:val="005943CF"/>
    <w:rsid w:val="00594E1E"/>
    <w:rsid w:val="00594EE7"/>
    <w:rsid w:val="00595E3B"/>
    <w:rsid w:val="0059663C"/>
    <w:rsid w:val="0059728A"/>
    <w:rsid w:val="005976C6"/>
    <w:rsid w:val="005A0867"/>
    <w:rsid w:val="005A2557"/>
    <w:rsid w:val="005A4BDA"/>
    <w:rsid w:val="005A5AE9"/>
    <w:rsid w:val="005A7F50"/>
    <w:rsid w:val="005B11D5"/>
    <w:rsid w:val="005B2F24"/>
    <w:rsid w:val="005B309C"/>
    <w:rsid w:val="005B3FD1"/>
    <w:rsid w:val="005B6E46"/>
    <w:rsid w:val="005B7ABC"/>
    <w:rsid w:val="005B7C1E"/>
    <w:rsid w:val="005C1444"/>
    <w:rsid w:val="005C1B56"/>
    <w:rsid w:val="005C25EB"/>
    <w:rsid w:val="005C287C"/>
    <w:rsid w:val="005C2924"/>
    <w:rsid w:val="005C2AA6"/>
    <w:rsid w:val="005C3043"/>
    <w:rsid w:val="005C47E1"/>
    <w:rsid w:val="005C6B21"/>
    <w:rsid w:val="005C6FE5"/>
    <w:rsid w:val="005D06FF"/>
    <w:rsid w:val="005D2AE4"/>
    <w:rsid w:val="005D2DB9"/>
    <w:rsid w:val="005D33EF"/>
    <w:rsid w:val="005D4360"/>
    <w:rsid w:val="005E129A"/>
    <w:rsid w:val="005E1734"/>
    <w:rsid w:val="005E19F0"/>
    <w:rsid w:val="005E53FE"/>
    <w:rsid w:val="005E7D5F"/>
    <w:rsid w:val="005F04D1"/>
    <w:rsid w:val="005F09E5"/>
    <w:rsid w:val="005F1F28"/>
    <w:rsid w:val="005F4B26"/>
    <w:rsid w:val="005F5798"/>
    <w:rsid w:val="005F5D68"/>
    <w:rsid w:val="005F5FDF"/>
    <w:rsid w:val="006010DD"/>
    <w:rsid w:val="00601910"/>
    <w:rsid w:val="00601917"/>
    <w:rsid w:val="00601EF8"/>
    <w:rsid w:val="00602E03"/>
    <w:rsid w:val="00603139"/>
    <w:rsid w:val="00603FC4"/>
    <w:rsid w:val="00604744"/>
    <w:rsid w:val="00605E13"/>
    <w:rsid w:val="00606376"/>
    <w:rsid w:val="0061032F"/>
    <w:rsid w:val="00611089"/>
    <w:rsid w:val="00612CFC"/>
    <w:rsid w:val="006135A9"/>
    <w:rsid w:val="00620B00"/>
    <w:rsid w:val="0062157B"/>
    <w:rsid w:val="00624737"/>
    <w:rsid w:val="00625C1D"/>
    <w:rsid w:val="006265EE"/>
    <w:rsid w:val="00626BD9"/>
    <w:rsid w:val="006272CE"/>
    <w:rsid w:val="006272F1"/>
    <w:rsid w:val="00630915"/>
    <w:rsid w:val="00630953"/>
    <w:rsid w:val="00631302"/>
    <w:rsid w:val="00632416"/>
    <w:rsid w:val="006329DB"/>
    <w:rsid w:val="00633E68"/>
    <w:rsid w:val="0063479E"/>
    <w:rsid w:val="006364F8"/>
    <w:rsid w:val="0063678C"/>
    <w:rsid w:val="0063699C"/>
    <w:rsid w:val="006401C0"/>
    <w:rsid w:val="006412FC"/>
    <w:rsid w:val="00641555"/>
    <w:rsid w:val="006415D3"/>
    <w:rsid w:val="00642263"/>
    <w:rsid w:val="006424BB"/>
    <w:rsid w:val="006438B6"/>
    <w:rsid w:val="00651075"/>
    <w:rsid w:val="006523C4"/>
    <w:rsid w:val="00654527"/>
    <w:rsid w:val="00654FC5"/>
    <w:rsid w:val="00655299"/>
    <w:rsid w:val="0065755A"/>
    <w:rsid w:val="00660008"/>
    <w:rsid w:val="00661D12"/>
    <w:rsid w:val="006629E4"/>
    <w:rsid w:val="006634A5"/>
    <w:rsid w:val="00665500"/>
    <w:rsid w:val="00665F8C"/>
    <w:rsid w:val="00667EE6"/>
    <w:rsid w:val="00670114"/>
    <w:rsid w:val="00670713"/>
    <w:rsid w:val="00672C7D"/>
    <w:rsid w:val="0067423A"/>
    <w:rsid w:val="0067580F"/>
    <w:rsid w:val="00680B72"/>
    <w:rsid w:val="0068245B"/>
    <w:rsid w:val="00682A3E"/>
    <w:rsid w:val="00682DF4"/>
    <w:rsid w:val="006907B7"/>
    <w:rsid w:val="00691E1A"/>
    <w:rsid w:val="006929D5"/>
    <w:rsid w:val="00693A08"/>
    <w:rsid w:val="00694A92"/>
    <w:rsid w:val="006978D3"/>
    <w:rsid w:val="006A0EEA"/>
    <w:rsid w:val="006A2B10"/>
    <w:rsid w:val="006A2D6A"/>
    <w:rsid w:val="006A42CE"/>
    <w:rsid w:val="006A5978"/>
    <w:rsid w:val="006A6A2A"/>
    <w:rsid w:val="006A7AA1"/>
    <w:rsid w:val="006B0597"/>
    <w:rsid w:val="006B0D25"/>
    <w:rsid w:val="006B1FA5"/>
    <w:rsid w:val="006B2963"/>
    <w:rsid w:val="006B2E9E"/>
    <w:rsid w:val="006B54B9"/>
    <w:rsid w:val="006B62F0"/>
    <w:rsid w:val="006B7C1D"/>
    <w:rsid w:val="006C03F5"/>
    <w:rsid w:val="006C137A"/>
    <w:rsid w:val="006C14BF"/>
    <w:rsid w:val="006C3726"/>
    <w:rsid w:val="006C438F"/>
    <w:rsid w:val="006C43AC"/>
    <w:rsid w:val="006C68C3"/>
    <w:rsid w:val="006C728B"/>
    <w:rsid w:val="006C7302"/>
    <w:rsid w:val="006C774A"/>
    <w:rsid w:val="006C7DBD"/>
    <w:rsid w:val="006D0036"/>
    <w:rsid w:val="006D29BA"/>
    <w:rsid w:val="006D59F0"/>
    <w:rsid w:val="006D684C"/>
    <w:rsid w:val="006D6EAD"/>
    <w:rsid w:val="006D7135"/>
    <w:rsid w:val="006D7879"/>
    <w:rsid w:val="006E2E3F"/>
    <w:rsid w:val="006E2F39"/>
    <w:rsid w:val="006E3C41"/>
    <w:rsid w:val="006E421E"/>
    <w:rsid w:val="006F2434"/>
    <w:rsid w:val="006F3415"/>
    <w:rsid w:val="006F55DD"/>
    <w:rsid w:val="006F5BE0"/>
    <w:rsid w:val="006F6679"/>
    <w:rsid w:val="006F7860"/>
    <w:rsid w:val="006F7EA6"/>
    <w:rsid w:val="00700911"/>
    <w:rsid w:val="00702E4C"/>
    <w:rsid w:val="00703860"/>
    <w:rsid w:val="00704050"/>
    <w:rsid w:val="0070492C"/>
    <w:rsid w:val="00705627"/>
    <w:rsid w:val="00710422"/>
    <w:rsid w:val="007105CD"/>
    <w:rsid w:val="007127AA"/>
    <w:rsid w:val="00714AFB"/>
    <w:rsid w:val="0071521D"/>
    <w:rsid w:val="00715B51"/>
    <w:rsid w:val="0071665E"/>
    <w:rsid w:val="007177AA"/>
    <w:rsid w:val="00717C87"/>
    <w:rsid w:val="007219BD"/>
    <w:rsid w:val="00722578"/>
    <w:rsid w:val="00723AA6"/>
    <w:rsid w:val="007241E6"/>
    <w:rsid w:val="00725187"/>
    <w:rsid w:val="00725B68"/>
    <w:rsid w:val="00725BA9"/>
    <w:rsid w:val="0072624C"/>
    <w:rsid w:val="00727E8C"/>
    <w:rsid w:val="007313A8"/>
    <w:rsid w:val="0073334D"/>
    <w:rsid w:val="00735246"/>
    <w:rsid w:val="00736C88"/>
    <w:rsid w:val="00737145"/>
    <w:rsid w:val="00737D53"/>
    <w:rsid w:val="00737DEE"/>
    <w:rsid w:val="007415FC"/>
    <w:rsid w:val="00741AE5"/>
    <w:rsid w:val="00741C9A"/>
    <w:rsid w:val="00742482"/>
    <w:rsid w:val="00742A7B"/>
    <w:rsid w:val="00745309"/>
    <w:rsid w:val="00747FC9"/>
    <w:rsid w:val="00750309"/>
    <w:rsid w:val="00750614"/>
    <w:rsid w:val="00750883"/>
    <w:rsid w:val="0075182B"/>
    <w:rsid w:val="00752173"/>
    <w:rsid w:val="0075238E"/>
    <w:rsid w:val="00752FEF"/>
    <w:rsid w:val="00753962"/>
    <w:rsid w:val="00753A3D"/>
    <w:rsid w:val="0075427E"/>
    <w:rsid w:val="00756BDA"/>
    <w:rsid w:val="00757025"/>
    <w:rsid w:val="007618D8"/>
    <w:rsid w:val="00762815"/>
    <w:rsid w:val="007665EC"/>
    <w:rsid w:val="00766982"/>
    <w:rsid w:val="00766DA5"/>
    <w:rsid w:val="007676FE"/>
    <w:rsid w:val="00767AF1"/>
    <w:rsid w:val="0077009A"/>
    <w:rsid w:val="007706DB"/>
    <w:rsid w:val="007728F5"/>
    <w:rsid w:val="00772AE2"/>
    <w:rsid w:val="007731A7"/>
    <w:rsid w:val="00773404"/>
    <w:rsid w:val="00774A03"/>
    <w:rsid w:val="00781790"/>
    <w:rsid w:val="007828CB"/>
    <w:rsid w:val="00782C13"/>
    <w:rsid w:val="00784603"/>
    <w:rsid w:val="00784EDF"/>
    <w:rsid w:val="00785E81"/>
    <w:rsid w:val="007874AF"/>
    <w:rsid w:val="0078788F"/>
    <w:rsid w:val="00787AFA"/>
    <w:rsid w:val="0079033D"/>
    <w:rsid w:val="00790419"/>
    <w:rsid w:val="007905D2"/>
    <w:rsid w:val="007922DE"/>
    <w:rsid w:val="00793614"/>
    <w:rsid w:val="00793BE3"/>
    <w:rsid w:val="00793E54"/>
    <w:rsid w:val="007941FB"/>
    <w:rsid w:val="0079481B"/>
    <w:rsid w:val="0079504B"/>
    <w:rsid w:val="00795F51"/>
    <w:rsid w:val="00797954"/>
    <w:rsid w:val="007A2BF8"/>
    <w:rsid w:val="007A3C7D"/>
    <w:rsid w:val="007A47B1"/>
    <w:rsid w:val="007A5849"/>
    <w:rsid w:val="007A609A"/>
    <w:rsid w:val="007A6ACE"/>
    <w:rsid w:val="007A6D6A"/>
    <w:rsid w:val="007B0D45"/>
    <w:rsid w:val="007B1846"/>
    <w:rsid w:val="007B1C89"/>
    <w:rsid w:val="007B2ED5"/>
    <w:rsid w:val="007B3052"/>
    <w:rsid w:val="007B45C7"/>
    <w:rsid w:val="007B5748"/>
    <w:rsid w:val="007B5981"/>
    <w:rsid w:val="007B6873"/>
    <w:rsid w:val="007B75D8"/>
    <w:rsid w:val="007C05B7"/>
    <w:rsid w:val="007C0724"/>
    <w:rsid w:val="007C266C"/>
    <w:rsid w:val="007C3C64"/>
    <w:rsid w:val="007C51F3"/>
    <w:rsid w:val="007C720A"/>
    <w:rsid w:val="007C7D87"/>
    <w:rsid w:val="007D083F"/>
    <w:rsid w:val="007D0EB2"/>
    <w:rsid w:val="007D10F8"/>
    <w:rsid w:val="007D237E"/>
    <w:rsid w:val="007D2DDE"/>
    <w:rsid w:val="007D34DC"/>
    <w:rsid w:val="007D4BE7"/>
    <w:rsid w:val="007D4CD2"/>
    <w:rsid w:val="007D6612"/>
    <w:rsid w:val="007E1190"/>
    <w:rsid w:val="007E28BE"/>
    <w:rsid w:val="007E4D1D"/>
    <w:rsid w:val="007E532C"/>
    <w:rsid w:val="007E757D"/>
    <w:rsid w:val="007F1065"/>
    <w:rsid w:val="007F2530"/>
    <w:rsid w:val="007F26A9"/>
    <w:rsid w:val="007F329A"/>
    <w:rsid w:val="007F3E92"/>
    <w:rsid w:val="007F411A"/>
    <w:rsid w:val="007F4B3F"/>
    <w:rsid w:val="007F4CAD"/>
    <w:rsid w:val="007F4CF4"/>
    <w:rsid w:val="007F5B63"/>
    <w:rsid w:val="007F65A1"/>
    <w:rsid w:val="007F67F5"/>
    <w:rsid w:val="007F75FF"/>
    <w:rsid w:val="007F7F08"/>
    <w:rsid w:val="00801073"/>
    <w:rsid w:val="00801B2E"/>
    <w:rsid w:val="0080213F"/>
    <w:rsid w:val="00802B0F"/>
    <w:rsid w:val="00804165"/>
    <w:rsid w:val="00805BBF"/>
    <w:rsid w:val="00805C26"/>
    <w:rsid w:val="00806D0B"/>
    <w:rsid w:val="008075A9"/>
    <w:rsid w:val="00810F8D"/>
    <w:rsid w:val="00810F94"/>
    <w:rsid w:val="00811526"/>
    <w:rsid w:val="00814404"/>
    <w:rsid w:val="00816237"/>
    <w:rsid w:val="008176DB"/>
    <w:rsid w:val="00820FE5"/>
    <w:rsid w:val="008235D8"/>
    <w:rsid w:val="00823DF5"/>
    <w:rsid w:val="008242C6"/>
    <w:rsid w:val="00824D63"/>
    <w:rsid w:val="00827466"/>
    <w:rsid w:val="00827CBB"/>
    <w:rsid w:val="00831920"/>
    <w:rsid w:val="0083649F"/>
    <w:rsid w:val="00840695"/>
    <w:rsid w:val="00843737"/>
    <w:rsid w:val="00845EC8"/>
    <w:rsid w:val="0084626E"/>
    <w:rsid w:val="008474B7"/>
    <w:rsid w:val="0085149B"/>
    <w:rsid w:val="00851554"/>
    <w:rsid w:val="00854CFD"/>
    <w:rsid w:val="0085508D"/>
    <w:rsid w:val="008553A4"/>
    <w:rsid w:val="008577E6"/>
    <w:rsid w:val="00861631"/>
    <w:rsid w:val="008635BC"/>
    <w:rsid w:val="0086436B"/>
    <w:rsid w:val="008643DF"/>
    <w:rsid w:val="00865618"/>
    <w:rsid w:val="0086624C"/>
    <w:rsid w:val="00870E8B"/>
    <w:rsid w:val="008714E2"/>
    <w:rsid w:val="008740F4"/>
    <w:rsid w:val="00874283"/>
    <w:rsid w:val="008748D2"/>
    <w:rsid w:val="0087498E"/>
    <w:rsid w:val="00874C11"/>
    <w:rsid w:val="00876745"/>
    <w:rsid w:val="00876A27"/>
    <w:rsid w:val="00877140"/>
    <w:rsid w:val="00877A07"/>
    <w:rsid w:val="008808C9"/>
    <w:rsid w:val="00883218"/>
    <w:rsid w:val="0088355A"/>
    <w:rsid w:val="00883B95"/>
    <w:rsid w:val="008848AC"/>
    <w:rsid w:val="00885159"/>
    <w:rsid w:val="00886744"/>
    <w:rsid w:val="00886B63"/>
    <w:rsid w:val="00890A34"/>
    <w:rsid w:val="00890E70"/>
    <w:rsid w:val="00891C81"/>
    <w:rsid w:val="0089229B"/>
    <w:rsid w:val="008927D8"/>
    <w:rsid w:val="00893CEE"/>
    <w:rsid w:val="008A0F70"/>
    <w:rsid w:val="008A2F3C"/>
    <w:rsid w:val="008A3D8E"/>
    <w:rsid w:val="008A4B76"/>
    <w:rsid w:val="008A56B2"/>
    <w:rsid w:val="008A5A94"/>
    <w:rsid w:val="008A619A"/>
    <w:rsid w:val="008A6239"/>
    <w:rsid w:val="008B0488"/>
    <w:rsid w:val="008B2C52"/>
    <w:rsid w:val="008B33C1"/>
    <w:rsid w:val="008B3677"/>
    <w:rsid w:val="008B3DD4"/>
    <w:rsid w:val="008B4E81"/>
    <w:rsid w:val="008C0CA0"/>
    <w:rsid w:val="008C1A97"/>
    <w:rsid w:val="008C1C30"/>
    <w:rsid w:val="008C36B6"/>
    <w:rsid w:val="008C3932"/>
    <w:rsid w:val="008C443A"/>
    <w:rsid w:val="008C6278"/>
    <w:rsid w:val="008D176F"/>
    <w:rsid w:val="008D30C6"/>
    <w:rsid w:val="008D57EE"/>
    <w:rsid w:val="008D596B"/>
    <w:rsid w:val="008D6271"/>
    <w:rsid w:val="008E023C"/>
    <w:rsid w:val="008E05F8"/>
    <w:rsid w:val="008E2BDA"/>
    <w:rsid w:val="008E3314"/>
    <w:rsid w:val="008E3521"/>
    <w:rsid w:val="008E3EAE"/>
    <w:rsid w:val="008E5802"/>
    <w:rsid w:val="008E6325"/>
    <w:rsid w:val="008F2E68"/>
    <w:rsid w:val="008F311A"/>
    <w:rsid w:val="008F46BB"/>
    <w:rsid w:val="009007EB"/>
    <w:rsid w:val="00900C2F"/>
    <w:rsid w:val="00901104"/>
    <w:rsid w:val="00902467"/>
    <w:rsid w:val="0090283B"/>
    <w:rsid w:val="00902A7C"/>
    <w:rsid w:val="00902BBE"/>
    <w:rsid w:val="00902D16"/>
    <w:rsid w:val="00903C50"/>
    <w:rsid w:val="00903F32"/>
    <w:rsid w:val="009065A3"/>
    <w:rsid w:val="0090683B"/>
    <w:rsid w:val="00907567"/>
    <w:rsid w:val="009077EA"/>
    <w:rsid w:val="00910EDA"/>
    <w:rsid w:val="0091162C"/>
    <w:rsid w:val="00911E67"/>
    <w:rsid w:val="00913253"/>
    <w:rsid w:val="009135F5"/>
    <w:rsid w:val="00913DE9"/>
    <w:rsid w:val="00915ACB"/>
    <w:rsid w:val="00916366"/>
    <w:rsid w:val="009170B5"/>
    <w:rsid w:val="00917420"/>
    <w:rsid w:val="00917FEF"/>
    <w:rsid w:val="009205F6"/>
    <w:rsid w:val="00922564"/>
    <w:rsid w:val="00922C65"/>
    <w:rsid w:val="00924F11"/>
    <w:rsid w:val="009270EA"/>
    <w:rsid w:val="00930262"/>
    <w:rsid w:val="009313F9"/>
    <w:rsid w:val="00931AC2"/>
    <w:rsid w:val="00931E30"/>
    <w:rsid w:val="00935012"/>
    <w:rsid w:val="009361D8"/>
    <w:rsid w:val="009365B5"/>
    <w:rsid w:val="00936DB8"/>
    <w:rsid w:val="00937414"/>
    <w:rsid w:val="00937D25"/>
    <w:rsid w:val="009424AE"/>
    <w:rsid w:val="00943BCD"/>
    <w:rsid w:val="00944AC4"/>
    <w:rsid w:val="00945D83"/>
    <w:rsid w:val="00946312"/>
    <w:rsid w:val="0094782B"/>
    <w:rsid w:val="00947FDB"/>
    <w:rsid w:val="009526BF"/>
    <w:rsid w:val="00952CB3"/>
    <w:rsid w:val="00953C1C"/>
    <w:rsid w:val="00953E39"/>
    <w:rsid w:val="009552D5"/>
    <w:rsid w:val="00956152"/>
    <w:rsid w:val="009561E1"/>
    <w:rsid w:val="0095653D"/>
    <w:rsid w:val="009605B3"/>
    <w:rsid w:val="009605DA"/>
    <w:rsid w:val="00960AD3"/>
    <w:rsid w:val="009617E3"/>
    <w:rsid w:val="00962269"/>
    <w:rsid w:val="00962D72"/>
    <w:rsid w:val="0096355A"/>
    <w:rsid w:val="00963687"/>
    <w:rsid w:val="009642DC"/>
    <w:rsid w:val="0096447D"/>
    <w:rsid w:val="00965C03"/>
    <w:rsid w:val="009668F1"/>
    <w:rsid w:val="00967987"/>
    <w:rsid w:val="00970107"/>
    <w:rsid w:val="00970B34"/>
    <w:rsid w:val="0097231B"/>
    <w:rsid w:val="00972F29"/>
    <w:rsid w:val="00975308"/>
    <w:rsid w:val="00976564"/>
    <w:rsid w:val="00977695"/>
    <w:rsid w:val="00980CBA"/>
    <w:rsid w:val="00980ED9"/>
    <w:rsid w:val="009821B0"/>
    <w:rsid w:val="00982AB6"/>
    <w:rsid w:val="00982CF1"/>
    <w:rsid w:val="00983278"/>
    <w:rsid w:val="00984501"/>
    <w:rsid w:val="00985116"/>
    <w:rsid w:val="00986E22"/>
    <w:rsid w:val="00987AAD"/>
    <w:rsid w:val="00987ADD"/>
    <w:rsid w:val="009939FF"/>
    <w:rsid w:val="009954FD"/>
    <w:rsid w:val="009A09D9"/>
    <w:rsid w:val="009A2C5E"/>
    <w:rsid w:val="009A4B40"/>
    <w:rsid w:val="009A5083"/>
    <w:rsid w:val="009A5C32"/>
    <w:rsid w:val="009B0485"/>
    <w:rsid w:val="009B19D6"/>
    <w:rsid w:val="009B43EE"/>
    <w:rsid w:val="009B4822"/>
    <w:rsid w:val="009B50A3"/>
    <w:rsid w:val="009B6E02"/>
    <w:rsid w:val="009B7D94"/>
    <w:rsid w:val="009C0B06"/>
    <w:rsid w:val="009C2E83"/>
    <w:rsid w:val="009C4D36"/>
    <w:rsid w:val="009C5A66"/>
    <w:rsid w:val="009C61A9"/>
    <w:rsid w:val="009C670E"/>
    <w:rsid w:val="009C7B1C"/>
    <w:rsid w:val="009D15B7"/>
    <w:rsid w:val="009D2D64"/>
    <w:rsid w:val="009D36A4"/>
    <w:rsid w:val="009D3C16"/>
    <w:rsid w:val="009D4ED8"/>
    <w:rsid w:val="009D679D"/>
    <w:rsid w:val="009D7D14"/>
    <w:rsid w:val="009E0982"/>
    <w:rsid w:val="009E1474"/>
    <w:rsid w:val="009E3086"/>
    <w:rsid w:val="009E445F"/>
    <w:rsid w:val="009E5DB4"/>
    <w:rsid w:val="009E68B5"/>
    <w:rsid w:val="009F18F8"/>
    <w:rsid w:val="009F3CB2"/>
    <w:rsid w:val="009F5377"/>
    <w:rsid w:val="009F5A60"/>
    <w:rsid w:val="009F74A0"/>
    <w:rsid w:val="009F7766"/>
    <w:rsid w:val="009F7E5C"/>
    <w:rsid w:val="00A00DE0"/>
    <w:rsid w:val="00A0137A"/>
    <w:rsid w:val="00A04A3F"/>
    <w:rsid w:val="00A05F22"/>
    <w:rsid w:val="00A06989"/>
    <w:rsid w:val="00A06AB5"/>
    <w:rsid w:val="00A108F0"/>
    <w:rsid w:val="00A11C2E"/>
    <w:rsid w:val="00A12023"/>
    <w:rsid w:val="00A1225D"/>
    <w:rsid w:val="00A162A4"/>
    <w:rsid w:val="00A17072"/>
    <w:rsid w:val="00A2111A"/>
    <w:rsid w:val="00A219D7"/>
    <w:rsid w:val="00A249EF"/>
    <w:rsid w:val="00A25E7C"/>
    <w:rsid w:val="00A30388"/>
    <w:rsid w:val="00A315B9"/>
    <w:rsid w:val="00A31841"/>
    <w:rsid w:val="00A31B68"/>
    <w:rsid w:val="00A3257A"/>
    <w:rsid w:val="00A32B29"/>
    <w:rsid w:val="00A33E48"/>
    <w:rsid w:val="00A34AB1"/>
    <w:rsid w:val="00A36561"/>
    <w:rsid w:val="00A36892"/>
    <w:rsid w:val="00A37F75"/>
    <w:rsid w:val="00A400EF"/>
    <w:rsid w:val="00A402E0"/>
    <w:rsid w:val="00A429C4"/>
    <w:rsid w:val="00A441CE"/>
    <w:rsid w:val="00A46504"/>
    <w:rsid w:val="00A473F9"/>
    <w:rsid w:val="00A50D3D"/>
    <w:rsid w:val="00A52647"/>
    <w:rsid w:val="00A53BF2"/>
    <w:rsid w:val="00A53D3F"/>
    <w:rsid w:val="00A549D0"/>
    <w:rsid w:val="00A55912"/>
    <w:rsid w:val="00A56862"/>
    <w:rsid w:val="00A57DA5"/>
    <w:rsid w:val="00A626CF"/>
    <w:rsid w:val="00A62E69"/>
    <w:rsid w:val="00A633E9"/>
    <w:rsid w:val="00A638DA"/>
    <w:rsid w:val="00A64B9E"/>
    <w:rsid w:val="00A66385"/>
    <w:rsid w:val="00A663D6"/>
    <w:rsid w:val="00A66492"/>
    <w:rsid w:val="00A667DD"/>
    <w:rsid w:val="00A66CD1"/>
    <w:rsid w:val="00A67ECB"/>
    <w:rsid w:val="00A70EA1"/>
    <w:rsid w:val="00A71507"/>
    <w:rsid w:val="00A71CCC"/>
    <w:rsid w:val="00A73375"/>
    <w:rsid w:val="00A744DB"/>
    <w:rsid w:val="00A7536D"/>
    <w:rsid w:val="00A75591"/>
    <w:rsid w:val="00A75A45"/>
    <w:rsid w:val="00A82A4A"/>
    <w:rsid w:val="00A857B3"/>
    <w:rsid w:val="00A85B30"/>
    <w:rsid w:val="00A85EB6"/>
    <w:rsid w:val="00A86589"/>
    <w:rsid w:val="00A87577"/>
    <w:rsid w:val="00A87FA8"/>
    <w:rsid w:val="00A87FF8"/>
    <w:rsid w:val="00A917D6"/>
    <w:rsid w:val="00A9303E"/>
    <w:rsid w:val="00A93237"/>
    <w:rsid w:val="00A941FB"/>
    <w:rsid w:val="00A94D6D"/>
    <w:rsid w:val="00A9512D"/>
    <w:rsid w:val="00A96381"/>
    <w:rsid w:val="00A96EEC"/>
    <w:rsid w:val="00A97714"/>
    <w:rsid w:val="00AA0D7F"/>
    <w:rsid w:val="00AA0EDB"/>
    <w:rsid w:val="00AA21A6"/>
    <w:rsid w:val="00AA230F"/>
    <w:rsid w:val="00AA53AE"/>
    <w:rsid w:val="00AA560B"/>
    <w:rsid w:val="00AA5A2B"/>
    <w:rsid w:val="00AA71C3"/>
    <w:rsid w:val="00AB1285"/>
    <w:rsid w:val="00AB2107"/>
    <w:rsid w:val="00AB2DA6"/>
    <w:rsid w:val="00AB36FA"/>
    <w:rsid w:val="00AB56F8"/>
    <w:rsid w:val="00AB5DE7"/>
    <w:rsid w:val="00AB798C"/>
    <w:rsid w:val="00AC0E76"/>
    <w:rsid w:val="00AC1CF4"/>
    <w:rsid w:val="00AC314A"/>
    <w:rsid w:val="00AC31BB"/>
    <w:rsid w:val="00AC365B"/>
    <w:rsid w:val="00AC379B"/>
    <w:rsid w:val="00AC4EF4"/>
    <w:rsid w:val="00AC4FFC"/>
    <w:rsid w:val="00AC6B14"/>
    <w:rsid w:val="00AC7AC3"/>
    <w:rsid w:val="00AD0D57"/>
    <w:rsid w:val="00AD1823"/>
    <w:rsid w:val="00AD2631"/>
    <w:rsid w:val="00AD2B28"/>
    <w:rsid w:val="00AD2CE0"/>
    <w:rsid w:val="00AD39FA"/>
    <w:rsid w:val="00AD3DBC"/>
    <w:rsid w:val="00AD4C9F"/>
    <w:rsid w:val="00AD5226"/>
    <w:rsid w:val="00AD5367"/>
    <w:rsid w:val="00AD5386"/>
    <w:rsid w:val="00AD62A0"/>
    <w:rsid w:val="00AE0631"/>
    <w:rsid w:val="00AE18E1"/>
    <w:rsid w:val="00AE24F0"/>
    <w:rsid w:val="00AE2763"/>
    <w:rsid w:val="00AE2E28"/>
    <w:rsid w:val="00AE37B5"/>
    <w:rsid w:val="00AE6250"/>
    <w:rsid w:val="00AE6505"/>
    <w:rsid w:val="00AE69AD"/>
    <w:rsid w:val="00AF08E9"/>
    <w:rsid w:val="00AF12CA"/>
    <w:rsid w:val="00AF130E"/>
    <w:rsid w:val="00AF2C01"/>
    <w:rsid w:val="00AF3C0B"/>
    <w:rsid w:val="00AF4099"/>
    <w:rsid w:val="00AF6EEE"/>
    <w:rsid w:val="00AF7A59"/>
    <w:rsid w:val="00B02310"/>
    <w:rsid w:val="00B05F86"/>
    <w:rsid w:val="00B1020D"/>
    <w:rsid w:val="00B10E99"/>
    <w:rsid w:val="00B1172E"/>
    <w:rsid w:val="00B12783"/>
    <w:rsid w:val="00B12943"/>
    <w:rsid w:val="00B12F1A"/>
    <w:rsid w:val="00B14CE2"/>
    <w:rsid w:val="00B14D22"/>
    <w:rsid w:val="00B14E5B"/>
    <w:rsid w:val="00B14FB2"/>
    <w:rsid w:val="00B15E43"/>
    <w:rsid w:val="00B16648"/>
    <w:rsid w:val="00B16872"/>
    <w:rsid w:val="00B16E37"/>
    <w:rsid w:val="00B17863"/>
    <w:rsid w:val="00B217C2"/>
    <w:rsid w:val="00B22788"/>
    <w:rsid w:val="00B227EF"/>
    <w:rsid w:val="00B235D5"/>
    <w:rsid w:val="00B23BC6"/>
    <w:rsid w:val="00B2433B"/>
    <w:rsid w:val="00B2551D"/>
    <w:rsid w:val="00B30BDB"/>
    <w:rsid w:val="00B318DC"/>
    <w:rsid w:val="00B342EC"/>
    <w:rsid w:val="00B34889"/>
    <w:rsid w:val="00B352DB"/>
    <w:rsid w:val="00B35DFD"/>
    <w:rsid w:val="00B36116"/>
    <w:rsid w:val="00B363A0"/>
    <w:rsid w:val="00B42A79"/>
    <w:rsid w:val="00B4301E"/>
    <w:rsid w:val="00B53A41"/>
    <w:rsid w:val="00B557FD"/>
    <w:rsid w:val="00B55C58"/>
    <w:rsid w:val="00B574C2"/>
    <w:rsid w:val="00B62AE4"/>
    <w:rsid w:val="00B63A4C"/>
    <w:rsid w:val="00B64F4E"/>
    <w:rsid w:val="00B66601"/>
    <w:rsid w:val="00B6723C"/>
    <w:rsid w:val="00B67722"/>
    <w:rsid w:val="00B67A22"/>
    <w:rsid w:val="00B700A1"/>
    <w:rsid w:val="00B70248"/>
    <w:rsid w:val="00B7101A"/>
    <w:rsid w:val="00B719A0"/>
    <w:rsid w:val="00B7360B"/>
    <w:rsid w:val="00B74239"/>
    <w:rsid w:val="00B751CA"/>
    <w:rsid w:val="00B7542A"/>
    <w:rsid w:val="00B7729E"/>
    <w:rsid w:val="00B774FF"/>
    <w:rsid w:val="00B806CD"/>
    <w:rsid w:val="00B83142"/>
    <w:rsid w:val="00B84AF1"/>
    <w:rsid w:val="00B84B9F"/>
    <w:rsid w:val="00B85001"/>
    <w:rsid w:val="00B860A0"/>
    <w:rsid w:val="00B862FF"/>
    <w:rsid w:val="00B8642F"/>
    <w:rsid w:val="00B86636"/>
    <w:rsid w:val="00B92034"/>
    <w:rsid w:val="00B93C32"/>
    <w:rsid w:val="00B942C2"/>
    <w:rsid w:val="00B965DC"/>
    <w:rsid w:val="00B969E3"/>
    <w:rsid w:val="00B9736D"/>
    <w:rsid w:val="00BA0AEA"/>
    <w:rsid w:val="00BA154D"/>
    <w:rsid w:val="00BA2887"/>
    <w:rsid w:val="00BA3D96"/>
    <w:rsid w:val="00BA3ECC"/>
    <w:rsid w:val="00BA3F0D"/>
    <w:rsid w:val="00BA463E"/>
    <w:rsid w:val="00BA4E49"/>
    <w:rsid w:val="00BA5968"/>
    <w:rsid w:val="00BA6625"/>
    <w:rsid w:val="00BB1162"/>
    <w:rsid w:val="00BB1A46"/>
    <w:rsid w:val="00BB3B27"/>
    <w:rsid w:val="00BB445F"/>
    <w:rsid w:val="00BB4FBF"/>
    <w:rsid w:val="00BB6DFF"/>
    <w:rsid w:val="00BC24B7"/>
    <w:rsid w:val="00BC3FEE"/>
    <w:rsid w:val="00BC50C0"/>
    <w:rsid w:val="00BD0B38"/>
    <w:rsid w:val="00BD0FA7"/>
    <w:rsid w:val="00BD21F2"/>
    <w:rsid w:val="00BD26E3"/>
    <w:rsid w:val="00BD4921"/>
    <w:rsid w:val="00BD50D3"/>
    <w:rsid w:val="00BD7418"/>
    <w:rsid w:val="00BD7D4F"/>
    <w:rsid w:val="00BE122C"/>
    <w:rsid w:val="00BE1845"/>
    <w:rsid w:val="00BE2D00"/>
    <w:rsid w:val="00BE2EB2"/>
    <w:rsid w:val="00BE5181"/>
    <w:rsid w:val="00BE7899"/>
    <w:rsid w:val="00BF043E"/>
    <w:rsid w:val="00BF0D92"/>
    <w:rsid w:val="00BF13AA"/>
    <w:rsid w:val="00BF1684"/>
    <w:rsid w:val="00BF2356"/>
    <w:rsid w:val="00BF33BD"/>
    <w:rsid w:val="00BF3C20"/>
    <w:rsid w:val="00BF3DD6"/>
    <w:rsid w:val="00BF467C"/>
    <w:rsid w:val="00BF4810"/>
    <w:rsid w:val="00BF5C18"/>
    <w:rsid w:val="00BF5C43"/>
    <w:rsid w:val="00BF67F5"/>
    <w:rsid w:val="00BF7713"/>
    <w:rsid w:val="00C00802"/>
    <w:rsid w:val="00C00A00"/>
    <w:rsid w:val="00C015DE"/>
    <w:rsid w:val="00C01FAE"/>
    <w:rsid w:val="00C038A7"/>
    <w:rsid w:val="00C04731"/>
    <w:rsid w:val="00C04F21"/>
    <w:rsid w:val="00C05251"/>
    <w:rsid w:val="00C0594F"/>
    <w:rsid w:val="00C06DC5"/>
    <w:rsid w:val="00C103D5"/>
    <w:rsid w:val="00C1475D"/>
    <w:rsid w:val="00C16FBB"/>
    <w:rsid w:val="00C22482"/>
    <w:rsid w:val="00C2259F"/>
    <w:rsid w:val="00C23377"/>
    <w:rsid w:val="00C243AB"/>
    <w:rsid w:val="00C262FC"/>
    <w:rsid w:val="00C2665F"/>
    <w:rsid w:val="00C268C6"/>
    <w:rsid w:val="00C2773E"/>
    <w:rsid w:val="00C314D1"/>
    <w:rsid w:val="00C34067"/>
    <w:rsid w:val="00C345A3"/>
    <w:rsid w:val="00C34DF3"/>
    <w:rsid w:val="00C34DFF"/>
    <w:rsid w:val="00C355C0"/>
    <w:rsid w:val="00C3598C"/>
    <w:rsid w:val="00C35EA9"/>
    <w:rsid w:val="00C362D4"/>
    <w:rsid w:val="00C40C4B"/>
    <w:rsid w:val="00C42D66"/>
    <w:rsid w:val="00C453D9"/>
    <w:rsid w:val="00C457B2"/>
    <w:rsid w:val="00C45EE6"/>
    <w:rsid w:val="00C46373"/>
    <w:rsid w:val="00C46912"/>
    <w:rsid w:val="00C46D9B"/>
    <w:rsid w:val="00C5162B"/>
    <w:rsid w:val="00C568A3"/>
    <w:rsid w:val="00C57539"/>
    <w:rsid w:val="00C5759C"/>
    <w:rsid w:val="00C5770B"/>
    <w:rsid w:val="00C600F1"/>
    <w:rsid w:val="00C60C12"/>
    <w:rsid w:val="00C64536"/>
    <w:rsid w:val="00C65961"/>
    <w:rsid w:val="00C65F2C"/>
    <w:rsid w:val="00C668EB"/>
    <w:rsid w:val="00C70007"/>
    <w:rsid w:val="00C70F37"/>
    <w:rsid w:val="00C726D8"/>
    <w:rsid w:val="00C72F44"/>
    <w:rsid w:val="00C74C25"/>
    <w:rsid w:val="00C76E5A"/>
    <w:rsid w:val="00C77596"/>
    <w:rsid w:val="00C77D17"/>
    <w:rsid w:val="00C81198"/>
    <w:rsid w:val="00C83319"/>
    <w:rsid w:val="00C839D1"/>
    <w:rsid w:val="00C8457E"/>
    <w:rsid w:val="00C870FB"/>
    <w:rsid w:val="00C87E2A"/>
    <w:rsid w:val="00C92573"/>
    <w:rsid w:val="00C9300C"/>
    <w:rsid w:val="00C9433F"/>
    <w:rsid w:val="00C975F8"/>
    <w:rsid w:val="00C97B35"/>
    <w:rsid w:val="00C97B82"/>
    <w:rsid w:val="00CA01F4"/>
    <w:rsid w:val="00CA1726"/>
    <w:rsid w:val="00CA39CB"/>
    <w:rsid w:val="00CA5556"/>
    <w:rsid w:val="00CA62D3"/>
    <w:rsid w:val="00CA6374"/>
    <w:rsid w:val="00CA64E8"/>
    <w:rsid w:val="00CB0009"/>
    <w:rsid w:val="00CB04AF"/>
    <w:rsid w:val="00CB41B5"/>
    <w:rsid w:val="00CB70FF"/>
    <w:rsid w:val="00CC41D9"/>
    <w:rsid w:val="00CC4A1E"/>
    <w:rsid w:val="00CD07C8"/>
    <w:rsid w:val="00CD0EA9"/>
    <w:rsid w:val="00CD3398"/>
    <w:rsid w:val="00CD37A7"/>
    <w:rsid w:val="00CD41B8"/>
    <w:rsid w:val="00CD4604"/>
    <w:rsid w:val="00CD5673"/>
    <w:rsid w:val="00CD5B68"/>
    <w:rsid w:val="00CE019D"/>
    <w:rsid w:val="00CE0F4B"/>
    <w:rsid w:val="00CE1743"/>
    <w:rsid w:val="00CE1786"/>
    <w:rsid w:val="00CE2971"/>
    <w:rsid w:val="00CE4AA8"/>
    <w:rsid w:val="00CE5200"/>
    <w:rsid w:val="00CE5464"/>
    <w:rsid w:val="00CE574E"/>
    <w:rsid w:val="00CE5B80"/>
    <w:rsid w:val="00CE6997"/>
    <w:rsid w:val="00CE7E69"/>
    <w:rsid w:val="00CF141D"/>
    <w:rsid w:val="00CF162D"/>
    <w:rsid w:val="00CF2E02"/>
    <w:rsid w:val="00CF4CC2"/>
    <w:rsid w:val="00CF5198"/>
    <w:rsid w:val="00CF6510"/>
    <w:rsid w:val="00D008F4"/>
    <w:rsid w:val="00D00EC7"/>
    <w:rsid w:val="00D035E5"/>
    <w:rsid w:val="00D04CBB"/>
    <w:rsid w:val="00D05BA9"/>
    <w:rsid w:val="00D0650D"/>
    <w:rsid w:val="00D07047"/>
    <w:rsid w:val="00D07317"/>
    <w:rsid w:val="00D07C79"/>
    <w:rsid w:val="00D10D8A"/>
    <w:rsid w:val="00D10DBB"/>
    <w:rsid w:val="00D10ED7"/>
    <w:rsid w:val="00D132AF"/>
    <w:rsid w:val="00D13931"/>
    <w:rsid w:val="00D15EFF"/>
    <w:rsid w:val="00D20BAE"/>
    <w:rsid w:val="00D21A5E"/>
    <w:rsid w:val="00D24F34"/>
    <w:rsid w:val="00D32828"/>
    <w:rsid w:val="00D34ABE"/>
    <w:rsid w:val="00D36579"/>
    <w:rsid w:val="00D37588"/>
    <w:rsid w:val="00D40AF3"/>
    <w:rsid w:val="00D4100E"/>
    <w:rsid w:val="00D415F4"/>
    <w:rsid w:val="00D41E07"/>
    <w:rsid w:val="00D41F2A"/>
    <w:rsid w:val="00D41FC7"/>
    <w:rsid w:val="00D42E24"/>
    <w:rsid w:val="00D43B97"/>
    <w:rsid w:val="00D44641"/>
    <w:rsid w:val="00D45C40"/>
    <w:rsid w:val="00D47011"/>
    <w:rsid w:val="00D47916"/>
    <w:rsid w:val="00D47B5F"/>
    <w:rsid w:val="00D47E81"/>
    <w:rsid w:val="00D5001B"/>
    <w:rsid w:val="00D50551"/>
    <w:rsid w:val="00D50F21"/>
    <w:rsid w:val="00D51982"/>
    <w:rsid w:val="00D51BDB"/>
    <w:rsid w:val="00D51D0C"/>
    <w:rsid w:val="00D533D5"/>
    <w:rsid w:val="00D53D88"/>
    <w:rsid w:val="00D549B2"/>
    <w:rsid w:val="00D54D06"/>
    <w:rsid w:val="00D54D6B"/>
    <w:rsid w:val="00D57098"/>
    <w:rsid w:val="00D602E0"/>
    <w:rsid w:val="00D605E0"/>
    <w:rsid w:val="00D609F5"/>
    <w:rsid w:val="00D62A19"/>
    <w:rsid w:val="00D6371C"/>
    <w:rsid w:val="00D64235"/>
    <w:rsid w:val="00D650BB"/>
    <w:rsid w:val="00D657CB"/>
    <w:rsid w:val="00D66724"/>
    <w:rsid w:val="00D66A92"/>
    <w:rsid w:val="00D67856"/>
    <w:rsid w:val="00D704E2"/>
    <w:rsid w:val="00D71910"/>
    <w:rsid w:val="00D73525"/>
    <w:rsid w:val="00D769D5"/>
    <w:rsid w:val="00D804AF"/>
    <w:rsid w:val="00D80970"/>
    <w:rsid w:val="00D82249"/>
    <w:rsid w:val="00D83923"/>
    <w:rsid w:val="00D85C23"/>
    <w:rsid w:val="00D86845"/>
    <w:rsid w:val="00D86E20"/>
    <w:rsid w:val="00D872CB"/>
    <w:rsid w:val="00D87CD9"/>
    <w:rsid w:val="00D90E10"/>
    <w:rsid w:val="00D94751"/>
    <w:rsid w:val="00D951C0"/>
    <w:rsid w:val="00D956B5"/>
    <w:rsid w:val="00D96970"/>
    <w:rsid w:val="00D96C55"/>
    <w:rsid w:val="00D96DD9"/>
    <w:rsid w:val="00D97494"/>
    <w:rsid w:val="00DA096A"/>
    <w:rsid w:val="00DA0F17"/>
    <w:rsid w:val="00DA19BE"/>
    <w:rsid w:val="00DA40C1"/>
    <w:rsid w:val="00DA4DF6"/>
    <w:rsid w:val="00DA4FA3"/>
    <w:rsid w:val="00DA5541"/>
    <w:rsid w:val="00DA5D57"/>
    <w:rsid w:val="00DA735E"/>
    <w:rsid w:val="00DA7FE0"/>
    <w:rsid w:val="00DB1AA7"/>
    <w:rsid w:val="00DB4A94"/>
    <w:rsid w:val="00DB552D"/>
    <w:rsid w:val="00DB5920"/>
    <w:rsid w:val="00DB5A5F"/>
    <w:rsid w:val="00DB7314"/>
    <w:rsid w:val="00DC0385"/>
    <w:rsid w:val="00DC1878"/>
    <w:rsid w:val="00DC61E3"/>
    <w:rsid w:val="00DC6710"/>
    <w:rsid w:val="00DC73F7"/>
    <w:rsid w:val="00DC75CB"/>
    <w:rsid w:val="00DC7FCC"/>
    <w:rsid w:val="00DD04D8"/>
    <w:rsid w:val="00DD0C45"/>
    <w:rsid w:val="00DD2D4C"/>
    <w:rsid w:val="00DD35FE"/>
    <w:rsid w:val="00DD52EE"/>
    <w:rsid w:val="00DD59D1"/>
    <w:rsid w:val="00DD7849"/>
    <w:rsid w:val="00DD7E2D"/>
    <w:rsid w:val="00DE0303"/>
    <w:rsid w:val="00DE124A"/>
    <w:rsid w:val="00DE1303"/>
    <w:rsid w:val="00DE2EA9"/>
    <w:rsid w:val="00DE3E65"/>
    <w:rsid w:val="00DE536A"/>
    <w:rsid w:val="00DE54AB"/>
    <w:rsid w:val="00DE5CA1"/>
    <w:rsid w:val="00DE5DD2"/>
    <w:rsid w:val="00DE6A8A"/>
    <w:rsid w:val="00DE7823"/>
    <w:rsid w:val="00DF0405"/>
    <w:rsid w:val="00DF1224"/>
    <w:rsid w:val="00DF198B"/>
    <w:rsid w:val="00DF27D9"/>
    <w:rsid w:val="00DF2ED4"/>
    <w:rsid w:val="00DF2FE1"/>
    <w:rsid w:val="00DF451D"/>
    <w:rsid w:val="00DF4E8A"/>
    <w:rsid w:val="00DF6087"/>
    <w:rsid w:val="00DF6315"/>
    <w:rsid w:val="00DF6A9A"/>
    <w:rsid w:val="00DF7362"/>
    <w:rsid w:val="00DF7BBD"/>
    <w:rsid w:val="00E01C94"/>
    <w:rsid w:val="00E02577"/>
    <w:rsid w:val="00E02D56"/>
    <w:rsid w:val="00E04D9A"/>
    <w:rsid w:val="00E063E1"/>
    <w:rsid w:val="00E07CD8"/>
    <w:rsid w:val="00E104FE"/>
    <w:rsid w:val="00E12E9A"/>
    <w:rsid w:val="00E13063"/>
    <w:rsid w:val="00E13E11"/>
    <w:rsid w:val="00E17080"/>
    <w:rsid w:val="00E17829"/>
    <w:rsid w:val="00E17F27"/>
    <w:rsid w:val="00E203A7"/>
    <w:rsid w:val="00E20512"/>
    <w:rsid w:val="00E22BC2"/>
    <w:rsid w:val="00E23095"/>
    <w:rsid w:val="00E23459"/>
    <w:rsid w:val="00E23962"/>
    <w:rsid w:val="00E25BEA"/>
    <w:rsid w:val="00E263E6"/>
    <w:rsid w:val="00E276C4"/>
    <w:rsid w:val="00E277D6"/>
    <w:rsid w:val="00E27E03"/>
    <w:rsid w:val="00E30C41"/>
    <w:rsid w:val="00E32ED3"/>
    <w:rsid w:val="00E34D81"/>
    <w:rsid w:val="00E3729F"/>
    <w:rsid w:val="00E40D7E"/>
    <w:rsid w:val="00E42CC9"/>
    <w:rsid w:val="00E433A7"/>
    <w:rsid w:val="00E4396F"/>
    <w:rsid w:val="00E43F30"/>
    <w:rsid w:val="00E4576E"/>
    <w:rsid w:val="00E5037E"/>
    <w:rsid w:val="00E50AB6"/>
    <w:rsid w:val="00E522FF"/>
    <w:rsid w:val="00E537F7"/>
    <w:rsid w:val="00E5558E"/>
    <w:rsid w:val="00E5604E"/>
    <w:rsid w:val="00E560FE"/>
    <w:rsid w:val="00E56842"/>
    <w:rsid w:val="00E56A2D"/>
    <w:rsid w:val="00E571F2"/>
    <w:rsid w:val="00E57EBF"/>
    <w:rsid w:val="00E60A22"/>
    <w:rsid w:val="00E6168A"/>
    <w:rsid w:val="00E62D71"/>
    <w:rsid w:val="00E63C28"/>
    <w:rsid w:val="00E647CA"/>
    <w:rsid w:val="00E6506D"/>
    <w:rsid w:val="00E67784"/>
    <w:rsid w:val="00E70C0D"/>
    <w:rsid w:val="00E712BF"/>
    <w:rsid w:val="00E715D9"/>
    <w:rsid w:val="00E7193E"/>
    <w:rsid w:val="00E721F5"/>
    <w:rsid w:val="00E7269C"/>
    <w:rsid w:val="00E7290F"/>
    <w:rsid w:val="00E72D6D"/>
    <w:rsid w:val="00E7342A"/>
    <w:rsid w:val="00E73549"/>
    <w:rsid w:val="00E7676C"/>
    <w:rsid w:val="00E76862"/>
    <w:rsid w:val="00E82DA8"/>
    <w:rsid w:val="00E8352E"/>
    <w:rsid w:val="00E83727"/>
    <w:rsid w:val="00E84822"/>
    <w:rsid w:val="00E84AD2"/>
    <w:rsid w:val="00E853E2"/>
    <w:rsid w:val="00E853FE"/>
    <w:rsid w:val="00E85484"/>
    <w:rsid w:val="00E85C98"/>
    <w:rsid w:val="00E86572"/>
    <w:rsid w:val="00E904D7"/>
    <w:rsid w:val="00E91289"/>
    <w:rsid w:val="00E94891"/>
    <w:rsid w:val="00E94AF4"/>
    <w:rsid w:val="00E953DF"/>
    <w:rsid w:val="00E95E84"/>
    <w:rsid w:val="00E96730"/>
    <w:rsid w:val="00E96F61"/>
    <w:rsid w:val="00E974DB"/>
    <w:rsid w:val="00E97845"/>
    <w:rsid w:val="00EA1EC6"/>
    <w:rsid w:val="00EA5322"/>
    <w:rsid w:val="00EA6BCD"/>
    <w:rsid w:val="00EB0176"/>
    <w:rsid w:val="00EB1273"/>
    <w:rsid w:val="00EB16F2"/>
    <w:rsid w:val="00EB374D"/>
    <w:rsid w:val="00EB4268"/>
    <w:rsid w:val="00EB4AF5"/>
    <w:rsid w:val="00EB5382"/>
    <w:rsid w:val="00EB5A07"/>
    <w:rsid w:val="00EB6528"/>
    <w:rsid w:val="00EB6B3E"/>
    <w:rsid w:val="00EC3596"/>
    <w:rsid w:val="00EC4D79"/>
    <w:rsid w:val="00EC584A"/>
    <w:rsid w:val="00EC724A"/>
    <w:rsid w:val="00ED0C77"/>
    <w:rsid w:val="00ED0F99"/>
    <w:rsid w:val="00ED2626"/>
    <w:rsid w:val="00ED2CF4"/>
    <w:rsid w:val="00ED414F"/>
    <w:rsid w:val="00ED41CE"/>
    <w:rsid w:val="00ED65DD"/>
    <w:rsid w:val="00EE0CBF"/>
    <w:rsid w:val="00EE0FA1"/>
    <w:rsid w:val="00EE15EF"/>
    <w:rsid w:val="00EE1CE1"/>
    <w:rsid w:val="00EE251D"/>
    <w:rsid w:val="00EE255A"/>
    <w:rsid w:val="00EE3CCF"/>
    <w:rsid w:val="00EE3D95"/>
    <w:rsid w:val="00EE4184"/>
    <w:rsid w:val="00EE42BD"/>
    <w:rsid w:val="00EE50BE"/>
    <w:rsid w:val="00EE6056"/>
    <w:rsid w:val="00EE640E"/>
    <w:rsid w:val="00EE754B"/>
    <w:rsid w:val="00EE7D33"/>
    <w:rsid w:val="00EF0C63"/>
    <w:rsid w:val="00EF37BD"/>
    <w:rsid w:val="00EF5286"/>
    <w:rsid w:val="00EF5B68"/>
    <w:rsid w:val="00EF6B11"/>
    <w:rsid w:val="00EF71C7"/>
    <w:rsid w:val="00F006C3"/>
    <w:rsid w:val="00F007B6"/>
    <w:rsid w:val="00F0192B"/>
    <w:rsid w:val="00F021AB"/>
    <w:rsid w:val="00F03037"/>
    <w:rsid w:val="00F03259"/>
    <w:rsid w:val="00F048C1"/>
    <w:rsid w:val="00F058CE"/>
    <w:rsid w:val="00F076CB"/>
    <w:rsid w:val="00F07984"/>
    <w:rsid w:val="00F10716"/>
    <w:rsid w:val="00F133D8"/>
    <w:rsid w:val="00F137DB"/>
    <w:rsid w:val="00F13FCC"/>
    <w:rsid w:val="00F143F5"/>
    <w:rsid w:val="00F15609"/>
    <w:rsid w:val="00F15BC3"/>
    <w:rsid w:val="00F164BE"/>
    <w:rsid w:val="00F16CAF"/>
    <w:rsid w:val="00F17E3D"/>
    <w:rsid w:val="00F20E4A"/>
    <w:rsid w:val="00F2217C"/>
    <w:rsid w:val="00F23A1F"/>
    <w:rsid w:val="00F240AE"/>
    <w:rsid w:val="00F240C7"/>
    <w:rsid w:val="00F26A4F"/>
    <w:rsid w:val="00F26D12"/>
    <w:rsid w:val="00F30668"/>
    <w:rsid w:val="00F30C85"/>
    <w:rsid w:val="00F313B0"/>
    <w:rsid w:val="00F320B5"/>
    <w:rsid w:val="00F323CE"/>
    <w:rsid w:val="00F3299A"/>
    <w:rsid w:val="00F32D83"/>
    <w:rsid w:val="00F33DDF"/>
    <w:rsid w:val="00F346ED"/>
    <w:rsid w:val="00F34DE8"/>
    <w:rsid w:val="00F36639"/>
    <w:rsid w:val="00F377F0"/>
    <w:rsid w:val="00F37A6E"/>
    <w:rsid w:val="00F4074C"/>
    <w:rsid w:val="00F408C7"/>
    <w:rsid w:val="00F40A11"/>
    <w:rsid w:val="00F42ACF"/>
    <w:rsid w:val="00F440BE"/>
    <w:rsid w:val="00F462E4"/>
    <w:rsid w:val="00F46CBE"/>
    <w:rsid w:val="00F52A1B"/>
    <w:rsid w:val="00F539D9"/>
    <w:rsid w:val="00F55A5A"/>
    <w:rsid w:val="00F55B40"/>
    <w:rsid w:val="00F56593"/>
    <w:rsid w:val="00F56C34"/>
    <w:rsid w:val="00F61821"/>
    <w:rsid w:val="00F61D58"/>
    <w:rsid w:val="00F62168"/>
    <w:rsid w:val="00F627D4"/>
    <w:rsid w:val="00F62956"/>
    <w:rsid w:val="00F62EF7"/>
    <w:rsid w:val="00F649FB"/>
    <w:rsid w:val="00F64B5E"/>
    <w:rsid w:val="00F65F89"/>
    <w:rsid w:val="00F67E90"/>
    <w:rsid w:val="00F70330"/>
    <w:rsid w:val="00F725AD"/>
    <w:rsid w:val="00F73DD2"/>
    <w:rsid w:val="00F7450E"/>
    <w:rsid w:val="00F76739"/>
    <w:rsid w:val="00F7767F"/>
    <w:rsid w:val="00F7778E"/>
    <w:rsid w:val="00F8034B"/>
    <w:rsid w:val="00F82A9E"/>
    <w:rsid w:val="00F82DA1"/>
    <w:rsid w:val="00F83018"/>
    <w:rsid w:val="00F84C0C"/>
    <w:rsid w:val="00F86D23"/>
    <w:rsid w:val="00F873ED"/>
    <w:rsid w:val="00F87915"/>
    <w:rsid w:val="00F90584"/>
    <w:rsid w:val="00F91371"/>
    <w:rsid w:val="00F91969"/>
    <w:rsid w:val="00F9373D"/>
    <w:rsid w:val="00F943F3"/>
    <w:rsid w:val="00F969AD"/>
    <w:rsid w:val="00F96B3C"/>
    <w:rsid w:val="00FA22D8"/>
    <w:rsid w:val="00FA27EC"/>
    <w:rsid w:val="00FA62A9"/>
    <w:rsid w:val="00FA64AF"/>
    <w:rsid w:val="00FA6BF8"/>
    <w:rsid w:val="00FA740E"/>
    <w:rsid w:val="00FB14F7"/>
    <w:rsid w:val="00FB1E25"/>
    <w:rsid w:val="00FB25D2"/>
    <w:rsid w:val="00FB392D"/>
    <w:rsid w:val="00FB4DCF"/>
    <w:rsid w:val="00FB6FF1"/>
    <w:rsid w:val="00FB77B2"/>
    <w:rsid w:val="00FB7C03"/>
    <w:rsid w:val="00FC07C4"/>
    <w:rsid w:val="00FC0B40"/>
    <w:rsid w:val="00FC0CA4"/>
    <w:rsid w:val="00FC1F37"/>
    <w:rsid w:val="00FC2575"/>
    <w:rsid w:val="00FC3777"/>
    <w:rsid w:val="00FC3B1F"/>
    <w:rsid w:val="00FC7D32"/>
    <w:rsid w:val="00FD0BA9"/>
    <w:rsid w:val="00FD0D6B"/>
    <w:rsid w:val="00FD11A7"/>
    <w:rsid w:val="00FD1F19"/>
    <w:rsid w:val="00FD28DB"/>
    <w:rsid w:val="00FD4214"/>
    <w:rsid w:val="00FD4313"/>
    <w:rsid w:val="00FD45FB"/>
    <w:rsid w:val="00FD52EC"/>
    <w:rsid w:val="00FD6184"/>
    <w:rsid w:val="00FD67D1"/>
    <w:rsid w:val="00FD6E9C"/>
    <w:rsid w:val="00FE194D"/>
    <w:rsid w:val="00FE1A07"/>
    <w:rsid w:val="00FE1A30"/>
    <w:rsid w:val="00FE1AE1"/>
    <w:rsid w:val="00FE214C"/>
    <w:rsid w:val="00FE237D"/>
    <w:rsid w:val="00FE502C"/>
    <w:rsid w:val="00FE547F"/>
    <w:rsid w:val="00FE57C8"/>
    <w:rsid w:val="00FE6827"/>
    <w:rsid w:val="00FE7988"/>
    <w:rsid w:val="00FE7E89"/>
    <w:rsid w:val="00FF091C"/>
    <w:rsid w:val="00FF18D5"/>
    <w:rsid w:val="00FF2C5A"/>
    <w:rsid w:val="00FF31D0"/>
    <w:rsid w:val="00FF3491"/>
    <w:rsid w:val="00FF4FDD"/>
    <w:rsid w:val="00FF51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BAD99"/>
  <w15:docId w15:val="{CBAE8EB3-5E65-4E9F-9B2D-A25BE124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FB2"/>
  </w:style>
  <w:style w:type="paragraph" w:styleId="10">
    <w:name w:val="heading 1"/>
    <w:basedOn w:val="a"/>
    <w:next w:val="a"/>
    <w:link w:val="1Char"/>
    <w:uiPriority w:val="9"/>
    <w:qFormat/>
    <w:rsid w:val="005C28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C28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5C28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5C28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5C287C"/>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C287C"/>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C287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C28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C28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4FB2"/>
    <w:pPr>
      <w:tabs>
        <w:tab w:val="center" w:pos="4680"/>
        <w:tab w:val="right" w:pos="9360"/>
      </w:tabs>
      <w:spacing w:after="0" w:line="240" w:lineRule="auto"/>
    </w:pPr>
  </w:style>
  <w:style w:type="character" w:customStyle="1" w:styleId="Char">
    <w:name w:val="Κεφαλίδα Char"/>
    <w:basedOn w:val="a0"/>
    <w:link w:val="a3"/>
    <w:uiPriority w:val="99"/>
    <w:rsid w:val="00B14FB2"/>
  </w:style>
  <w:style w:type="paragraph" w:styleId="a4">
    <w:name w:val="footer"/>
    <w:basedOn w:val="a"/>
    <w:link w:val="Char0"/>
    <w:uiPriority w:val="99"/>
    <w:unhideWhenUsed/>
    <w:rsid w:val="00B14FB2"/>
    <w:pPr>
      <w:tabs>
        <w:tab w:val="center" w:pos="4680"/>
        <w:tab w:val="right" w:pos="9360"/>
      </w:tabs>
      <w:spacing w:after="0" w:line="240" w:lineRule="auto"/>
    </w:pPr>
  </w:style>
  <w:style w:type="character" w:customStyle="1" w:styleId="Char0">
    <w:name w:val="Υποσέλιδο Char"/>
    <w:basedOn w:val="a0"/>
    <w:link w:val="a4"/>
    <w:uiPriority w:val="99"/>
    <w:rsid w:val="00B14FB2"/>
  </w:style>
  <w:style w:type="paragraph" w:styleId="a5">
    <w:name w:val="Title"/>
    <w:basedOn w:val="a"/>
    <w:next w:val="a"/>
    <w:link w:val="Char1"/>
    <w:uiPriority w:val="10"/>
    <w:qFormat/>
    <w:rsid w:val="00B1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1">
    <w:name w:val="Τίτλος Char"/>
    <w:basedOn w:val="a0"/>
    <w:link w:val="a5"/>
    <w:uiPriority w:val="10"/>
    <w:rsid w:val="00B14FB2"/>
    <w:rPr>
      <w:rFonts w:asciiTheme="majorHAnsi" w:eastAsiaTheme="majorEastAsia" w:hAnsiTheme="majorHAnsi" w:cstheme="majorBidi"/>
      <w:spacing w:val="-10"/>
      <w:kern w:val="28"/>
      <w:sz w:val="56"/>
      <w:szCs w:val="56"/>
    </w:rPr>
  </w:style>
  <w:style w:type="character" w:styleId="-">
    <w:name w:val="Hyperlink"/>
    <w:basedOn w:val="a0"/>
    <w:uiPriority w:val="99"/>
    <w:unhideWhenUsed/>
    <w:rsid w:val="00B14FB2"/>
    <w:rPr>
      <w:color w:val="0563C1" w:themeColor="hyperlink"/>
      <w:u w:val="single"/>
    </w:rPr>
  </w:style>
  <w:style w:type="character" w:customStyle="1" w:styleId="1Char">
    <w:name w:val="Επικεφαλίδα 1 Char"/>
    <w:basedOn w:val="a0"/>
    <w:link w:val="10"/>
    <w:uiPriority w:val="9"/>
    <w:rsid w:val="005C287C"/>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C287C"/>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5C287C"/>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semiHidden/>
    <w:rsid w:val="005C287C"/>
    <w:rPr>
      <w:rFonts w:asciiTheme="majorHAnsi" w:eastAsiaTheme="majorEastAsia" w:hAnsiTheme="majorHAnsi" w:cstheme="majorBidi"/>
      <w:i/>
      <w:iCs/>
      <w:color w:val="2F5496" w:themeColor="accent1" w:themeShade="BF"/>
    </w:rPr>
  </w:style>
  <w:style w:type="character" w:customStyle="1" w:styleId="5Char">
    <w:name w:val="Επικεφαλίδα 5 Char"/>
    <w:basedOn w:val="a0"/>
    <w:link w:val="5"/>
    <w:uiPriority w:val="9"/>
    <w:semiHidden/>
    <w:rsid w:val="005C287C"/>
    <w:rPr>
      <w:rFonts w:asciiTheme="majorHAnsi" w:eastAsiaTheme="majorEastAsia" w:hAnsiTheme="majorHAnsi" w:cstheme="majorBidi"/>
      <w:color w:val="2F5496" w:themeColor="accent1" w:themeShade="BF"/>
    </w:rPr>
  </w:style>
  <w:style w:type="character" w:customStyle="1" w:styleId="6Char">
    <w:name w:val="Επικεφαλίδα 6 Char"/>
    <w:basedOn w:val="a0"/>
    <w:link w:val="6"/>
    <w:uiPriority w:val="9"/>
    <w:semiHidden/>
    <w:rsid w:val="005C287C"/>
    <w:rPr>
      <w:rFonts w:asciiTheme="majorHAnsi" w:eastAsiaTheme="majorEastAsia" w:hAnsiTheme="majorHAnsi" w:cstheme="majorBidi"/>
      <w:color w:val="1F3763" w:themeColor="accent1" w:themeShade="7F"/>
    </w:rPr>
  </w:style>
  <w:style w:type="character" w:customStyle="1" w:styleId="7Char">
    <w:name w:val="Επικεφαλίδα 7 Char"/>
    <w:basedOn w:val="a0"/>
    <w:link w:val="7"/>
    <w:uiPriority w:val="9"/>
    <w:semiHidden/>
    <w:rsid w:val="005C287C"/>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5C287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5C287C"/>
    <w:rPr>
      <w:rFonts w:asciiTheme="majorHAnsi" w:eastAsiaTheme="majorEastAsia" w:hAnsiTheme="majorHAnsi" w:cstheme="majorBidi"/>
      <w:i/>
      <w:iCs/>
      <w:color w:val="272727" w:themeColor="text1" w:themeTint="D8"/>
      <w:sz w:val="21"/>
      <w:szCs w:val="21"/>
    </w:rPr>
  </w:style>
  <w:style w:type="character" w:styleId="a6">
    <w:name w:val="Placeholder Text"/>
    <w:basedOn w:val="a0"/>
    <w:uiPriority w:val="99"/>
    <w:semiHidden/>
    <w:rsid w:val="005C287C"/>
    <w:rPr>
      <w:color w:val="808080"/>
    </w:rPr>
  </w:style>
  <w:style w:type="paragraph" w:styleId="a7">
    <w:name w:val="footnote text"/>
    <w:aliases w:val=" Char,Point 3 Char,Footnote text,ESPON Footnote Text,Schriftart: 9 pt,Schriftart: 10 pt,Schriftart: 8 pt,Κείμενο υποσημείωσης-KATERINA,Char Char Char,footnotes,Footnote Text Char2 Char,Footnote Text Char1,5_G,Fußnotentext RAXEN,fn,o"/>
    <w:basedOn w:val="a"/>
    <w:link w:val="Char2"/>
    <w:uiPriority w:val="99"/>
    <w:unhideWhenUsed/>
    <w:qFormat/>
    <w:rsid w:val="005C287C"/>
    <w:pPr>
      <w:spacing w:after="0" w:line="240" w:lineRule="auto"/>
    </w:pPr>
    <w:rPr>
      <w:sz w:val="20"/>
      <w:szCs w:val="20"/>
    </w:rPr>
  </w:style>
  <w:style w:type="character" w:customStyle="1" w:styleId="Char2">
    <w:name w:val="Κείμενο υποσημείωσης Char"/>
    <w:aliases w:val=" Char Char,Point 3 Char Char,Footnote text Char,ESPON Footnote Text Char,Schriftart: 9 pt Char,Schriftart: 10 pt Char,Schriftart: 8 pt Char,Κείμενο υποσημείωσης-KATERINA Char,Char Char Char Char,footnotes Char,5_G Char,fn Char"/>
    <w:basedOn w:val="a0"/>
    <w:link w:val="a7"/>
    <w:uiPriority w:val="99"/>
    <w:rsid w:val="005C287C"/>
    <w:rPr>
      <w:sz w:val="20"/>
      <w:szCs w:val="20"/>
    </w:rPr>
  </w:style>
  <w:style w:type="character" w:styleId="a8">
    <w:name w:val="footnote reference"/>
    <w:aliases w:val="Footnote symbol,Footnote,υποσημείωση1,Footnote Refernece,Fn Ref,Footnote Reference Superscript,Footnote reference number,note TESI,4_G,4_G Char Char Char Char,Footnotes refss Char Char Char Char,ftref Char Char Char Char,10 pt,FR"/>
    <w:basedOn w:val="a0"/>
    <w:link w:val="4GCharCharChar"/>
    <w:uiPriority w:val="99"/>
    <w:unhideWhenUsed/>
    <w:qFormat/>
    <w:rsid w:val="005C287C"/>
    <w:rPr>
      <w:vertAlign w:val="superscript"/>
    </w:rPr>
  </w:style>
  <w:style w:type="character" w:customStyle="1" w:styleId="11">
    <w:name w:val="Ανεπίλυτη αναφορά1"/>
    <w:basedOn w:val="a0"/>
    <w:uiPriority w:val="99"/>
    <w:semiHidden/>
    <w:unhideWhenUsed/>
    <w:rsid w:val="005C287C"/>
    <w:rPr>
      <w:color w:val="808080"/>
      <w:shd w:val="clear" w:color="auto" w:fill="E6E6E6"/>
    </w:rPr>
  </w:style>
  <w:style w:type="paragraph" w:styleId="a9">
    <w:name w:val="List Paragraph"/>
    <w:basedOn w:val="a"/>
    <w:link w:val="Char3"/>
    <w:uiPriority w:val="34"/>
    <w:qFormat/>
    <w:rsid w:val="005C287C"/>
    <w:pPr>
      <w:ind w:left="720"/>
      <w:contextualSpacing/>
    </w:pPr>
  </w:style>
  <w:style w:type="paragraph" w:styleId="aa">
    <w:name w:val="caption"/>
    <w:basedOn w:val="a"/>
    <w:next w:val="a"/>
    <w:uiPriority w:val="35"/>
    <w:unhideWhenUsed/>
    <w:qFormat/>
    <w:rsid w:val="005C287C"/>
    <w:pPr>
      <w:spacing w:after="200" w:line="240" w:lineRule="auto"/>
    </w:pPr>
    <w:rPr>
      <w:i/>
      <w:iCs/>
      <w:color w:val="44546A" w:themeColor="text2"/>
      <w:sz w:val="18"/>
      <w:szCs w:val="18"/>
    </w:rPr>
  </w:style>
  <w:style w:type="table" w:styleId="ab">
    <w:name w:val="Table Grid"/>
    <w:basedOn w:val="a1"/>
    <w:uiPriority w:val="39"/>
    <w:rsid w:val="005C2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5C287C"/>
    <w:rPr>
      <w:color w:val="954F72" w:themeColor="followedHyperlink"/>
      <w:u w:val="single"/>
    </w:rPr>
  </w:style>
  <w:style w:type="paragraph" w:styleId="ac">
    <w:name w:val="TOC Heading"/>
    <w:basedOn w:val="10"/>
    <w:next w:val="a"/>
    <w:uiPriority w:val="39"/>
    <w:unhideWhenUsed/>
    <w:qFormat/>
    <w:rsid w:val="005C287C"/>
    <w:pPr>
      <w:outlineLvl w:val="9"/>
    </w:pPr>
  </w:style>
  <w:style w:type="paragraph" w:styleId="12">
    <w:name w:val="toc 1"/>
    <w:basedOn w:val="a"/>
    <w:next w:val="a"/>
    <w:autoRedefine/>
    <w:uiPriority w:val="39"/>
    <w:unhideWhenUsed/>
    <w:rsid w:val="005C287C"/>
    <w:pPr>
      <w:spacing w:after="100"/>
    </w:pPr>
  </w:style>
  <w:style w:type="paragraph" w:styleId="20">
    <w:name w:val="toc 2"/>
    <w:basedOn w:val="a"/>
    <w:next w:val="a"/>
    <w:autoRedefine/>
    <w:uiPriority w:val="39"/>
    <w:unhideWhenUsed/>
    <w:rsid w:val="005C287C"/>
    <w:pPr>
      <w:spacing w:after="100"/>
      <w:ind w:left="220"/>
    </w:pPr>
  </w:style>
  <w:style w:type="paragraph" w:customStyle="1" w:styleId="Default">
    <w:name w:val="Default"/>
    <w:rsid w:val="005C287C"/>
    <w:pPr>
      <w:autoSpaceDE w:val="0"/>
      <w:autoSpaceDN w:val="0"/>
      <w:adjustRightInd w:val="0"/>
      <w:spacing w:after="0" w:line="240" w:lineRule="auto"/>
    </w:pPr>
    <w:rPr>
      <w:rFonts w:ascii="Book Antiqua" w:hAnsi="Book Antiqua" w:cs="Book Antiqua"/>
      <w:color w:val="000000"/>
      <w:sz w:val="24"/>
      <w:szCs w:val="24"/>
      <w:lang w:val="el-GR"/>
    </w:rPr>
  </w:style>
  <w:style w:type="character" w:customStyle="1" w:styleId="21">
    <w:name w:val="Ανεπίλυτη αναφορά2"/>
    <w:basedOn w:val="a0"/>
    <w:uiPriority w:val="99"/>
    <w:semiHidden/>
    <w:unhideWhenUsed/>
    <w:rsid w:val="005C287C"/>
    <w:rPr>
      <w:color w:val="605E5C"/>
      <w:shd w:val="clear" w:color="auto" w:fill="E1DFDD"/>
    </w:rPr>
  </w:style>
  <w:style w:type="numbering" w:customStyle="1" w:styleId="1">
    <w:name w:val="Στυλ1"/>
    <w:uiPriority w:val="99"/>
    <w:rsid w:val="005C287C"/>
    <w:pPr>
      <w:numPr>
        <w:numId w:val="1"/>
      </w:numPr>
    </w:pPr>
  </w:style>
  <w:style w:type="paragraph" w:styleId="Web">
    <w:name w:val="Normal (Web)"/>
    <w:basedOn w:val="a"/>
    <w:uiPriority w:val="99"/>
    <w:rsid w:val="005C287C"/>
    <w:pPr>
      <w:spacing w:before="100" w:beforeAutospacing="1" w:after="100" w:afterAutospacing="1" w:line="240" w:lineRule="auto"/>
      <w:jc w:val="both"/>
    </w:pPr>
    <w:rPr>
      <w:rFonts w:ascii="Calibri" w:eastAsia="Times New Roman" w:hAnsi="Calibri" w:cs="Times New Roman"/>
      <w:sz w:val="24"/>
      <w:szCs w:val="24"/>
    </w:rPr>
  </w:style>
  <w:style w:type="character" w:styleId="ad">
    <w:name w:val="Strong"/>
    <w:qFormat/>
    <w:rsid w:val="005C287C"/>
    <w:rPr>
      <w:b/>
      <w:bCs/>
    </w:rPr>
  </w:style>
  <w:style w:type="table" w:customStyle="1" w:styleId="2-51">
    <w:name w:val="Πίνακας 2 με πλέγμα - Έμφαση 51"/>
    <w:basedOn w:val="a1"/>
    <w:uiPriority w:val="47"/>
    <w:rsid w:val="005C287C"/>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21">
    <w:name w:val="Πίνακας 1 με ανοιχτόχρωμο πλέγμα - Έμφαση 21"/>
    <w:basedOn w:val="a1"/>
    <w:uiPriority w:val="46"/>
    <w:rsid w:val="005C287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ae">
    <w:name w:val="Balloon Text"/>
    <w:basedOn w:val="a"/>
    <w:link w:val="Char4"/>
    <w:uiPriority w:val="99"/>
    <w:semiHidden/>
    <w:unhideWhenUsed/>
    <w:rsid w:val="005C287C"/>
    <w:pPr>
      <w:spacing w:after="0" w:line="240" w:lineRule="auto"/>
    </w:pPr>
    <w:rPr>
      <w:rFonts w:ascii="Segoe UI" w:hAnsi="Segoe UI" w:cs="Segoe UI"/>
      <w:sz w:val="18"/>
      <w:szCs w:val="18"/>
    </w:rPr>
  </w:style>
  <w:style w:type="character" w:customStyle="1" w:styleId="Char4">
    <w:name w:val="Κείμενο πλαισίου Char"/>
    <w:basedOn w:val="a0"/>
    <w:link w:val="ae"/>
    <w:uiPriority w:val="99"/>
    <w:semiHidden/>
    <w:rsid w:val="005C287C"/>
    <w:rPr>
      <w:rFonts w:ascii="Segoe UI" w:hAnsi="Segoe UI" w:cs="Segoe UI"/>
      <w:sz w:val="18"/>
      <w:szCs w:val="18"/>
    </w:rPr>
  </w:style>
  <w:style w:type="table" w:customStyle="1" w:styleId="110">
    <w:name w:val="Απλός πίνακας 11"/>
    <w:basedOn w:val="a1"/>
    <w:uiPriority w:val="41"/>
    <w:rsid w:val="00A57DA5"/>
    <w:pPr>
      <w:spacing w:after="0" w:line="240" w:lineRule="auto"/>
    </w:pPr>
    <w:rPr>
      <w:lang w:val="el-G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Απλός πίνακας 51"/>
    <w:basedOn w:val="a1"/>
    <w:uiPriority w:val="45"/>
    <w:rsid w:val="00A57DA5"/>
    <w:pPr>
      <w:spacing w:after="0" w:line="240" w:lineRule="auto"/>
    </w:pPr>
    <w:rPr>
      <w:lang w:val="el-G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
    <w:name w:val="annotation reference"/>
    <w:basedOn w:val="a0"/>
    <w:uiPriority w:val="99"/>
    <w:semiHidden/>
    <w:unhideWhenUsed/>
    <w:rsid w:val="00A1225D"/>
    <w:rPr>
      <w:sz w:val="16"/>
      <w:szCs w:val="16"/>
    </w:rPr>
  </w:style>
  <w:style w:type="paragraph" w:styleId="af0">
    <w:name w:val="annotation text"/>
    <w:basedOn w:val="a"/>
    <w:link w:val="Char5"/>
    <w:uiPriority w:val="99"/>
    <w:semiHidden/>
    <w:unhideWhenUsed/>
    <w:rsid w:val="00A1225D"/>
    <w:pPr>
      <w:spacing w:line="240" w:lineRule="auto"/>
    </w:pPr>
    <w:rPr>
      <w:sz w:val="20"/>
      <w:szCs w:val="20"/>
    </w:rPr>
  </w:style>
  <w:style w:type="character" w:customStyle="1" w:styleId="Char5">
    <w:name w:val="Κείμενο σχολίου Char"/>
    <w:basedOn w:val="a0"/>
    <w:link w:val="af0"/>
    <w:uiPriority w:val="99"/>
    <w:semiHidden/>
    <w:rsid w:val="00A1225D"/>
    <w:rPr>
      <w:sz w:val="20"/>
      <w:szCs w:val="20"/>
    </w:rPr>
  </w:style>
  <w:style w:type="paragraph" w:styleId="af1">
    <w:name w:val="annotation subject"/>
    <w:basedOn w:val="af0"/>
    <w:next w:val="af0"/>
    <w:link w:val="Char6"/>
    <w:uiPriority w:val="99"/>
    <w:semiHidden/>
    <w:unhideWhenUsed/>
    <w:rsid w:val="00A1225D"/>
    <w:rPr>
      <w:b/>
      <w:bCs/>
    </w:rPr>
  </w:style>
  <w:style w:type="character" w:customStyle="1" w:styleId="Char6">
    <w:name w:val="Θέμα σχολίου Char"/>
    <w:basedOn w:val="Char5"/>
    <w:link w:val="af1"/>
    <w:uiPriority w:val="99"/>
    <w:semiHidden/>
    <w:rsid w:val="00A1225D"/>
    <w:rPr>
      <w:b/>
      <w:bCs/>
      <w:sz w:val="20"/>
      <w:szCs w:val="20"/>
    </w:rPr>
  </w:style>
  <w:style w:type="table" w:customStyle="1" w:styleId="4-61">
    <w:name w:val="Πίνακας 4 με πλέγμα - Έμφαση 61"/>
    <w:basedOn w:val="a1"/>
    <w:uiPriority w:val="49"/>
    <w:rsid w:val="00A2111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t">
    <w:name w:val="st"/>
    <w:basedOn w:val="a0"/>
    <w:rsid w:val="00570B2E"/>
  </w:style>
  <w:style w:type="table" w:customStyle="1" w:styleId="4-41">
    <w:name w:val="Πίνακας 4 με πλέγμα - Έμφαση 41"/>
    <w:basedOn w:val="a1"/>
    <w:uiPriority w:val="49"/>
    <w:rsid w:val="0047440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5-21">
    <w:name w:val="Πίνακας 5 με σκούρο πλέγμα - Έμφαση 21"/>
    <w:basedOn w:val="a1"/>
    <w:uiPriority w:val="50"/>
    <w:rsid w:val="0059728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1-31">
    <w:name w:val="Πίνακας 1 με ανοιχτόχρωμο πλέγμα - Έμφαση 31"/>
    <w:basedOn w:val="a1"/>
    <w:uiPriority w:val="46"/>
    <w:rsid w:val="00FC0B4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TML">
    <w:name w:val="HTML Preformatted"/>
    <w:basedOn w:val="a"/>
    <w:link w:val="-HTMLChar"/>
    <w:uiPriority w:val="99"/>
    <w:unhideWhenUsed/>
    <w:rsid w:val="00772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772AE2"/>
    <w:rPr>
      <w:rFonts w:ascii="Courier New" w:eastAsia="Times New Roman" w:hAnsi="Courier New" w:cs="Courier New"/>
      <w:sz w:val="20"/>
      <w:szCs w:val="20"/>
      <w:lang w:val="el-GR" w:eastAsia="el-GR"/>
    </w:rPr>
  </w:style>
  <w:style w:type="character" w:customStyle="1" w:styleId="smalltext">
    <w:name w:val="smalltext"/>
    <w:basedOn w:val="a0"/>
    <w:rsid w:val="005A7F50"/>
  </w:style>
  <w:style w:type="paragraph" w:styleId="30">
    <w:name w:val="toc 3"/>
    <w:basedOn w:val="a"/>
    <w:next w:val="a"/>
    <w:autoRedefine/>
    <w:uiPriority w:val="39"/>
    <w:unhideWhenUsed/>
    <w:rsid w:val="00A75A45"/>
    <w:pPr>
      <w:spacing w:after="100"/>
      <w:ind w:left="440"/>
    </w:pPr>
    <w:rPr>
      <w:rFonts w:eastAsiaTheme="minorEastAsia" w:cs="Times New Roman"/>
      <w:lang w:val="el-GR" w:eastAsia="el-GR"/>
    </w:rPr>
  </w:style>
  <w:style w:type="table" w:customStyle="1" w:styleId="111">
    <w:name w:val="Πίνακας 1 με ανοιχτόχρωμο πλέγμα1"/>
    <w:basedOn w:val="a1"/>
    <w:uiPriority w:val="46"/>
    <w:rsid w:val="00612C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1">
    <w:name w:val="Ανεπίλυτη αναφορά3"/>
    <w:basedOn w:val="a0"/>
    <w:uiPriority w:val="99"/>
    <w:semiHidden/>
    <w:unhideWhenUsed/>
    <w:rsid w:val="00036E31"/>
    <w:rPr>
      <w:color w:val="605E5C"/>
      <w:shd w:val="clear" w:color="auto" w:fill="E1DFDD"/>
    </w:rPr>
  </w:style>
  <w:style w:type="character" w:customStyle="1" w:styleId="tlid-translation">
    <w:name w:val="tlid-translation"/>
    <w:basedOn w:val="a0"/>
    <w:rsid w:val="0000287E"/>
  </w:style>
  <w:style w:type="table" w:customStyle="1" w:styleId="4-410">
    <w:name w:val="Πίνακας 4 με πλέγμα - Έμφαση 41"/>
    <w:basedOn w:val="a1"/>
    <w:uiPriority w:val="49"/>
    <w:rsid w:val="000E6AD4"/>
    <w:pPr>
      <w:spacing w:after="0" w:line="240" w:lineRule="auto"/>
    </w:pPr>
    <w:rPr>
      <w:lang w:val="el-GR"/>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10">
    <w:name w:val="Απλός πίνακας 21"/>
    <w:basedOn w:val="a1"/>
    <w:uiPriority w:val="42"/>
    <w:rsid w:val="008274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8"/>
    <w:uiPriority w:val="99"/>
    <w:rsid w:val="00B86636"/>
    <w:pPr>
      <w:spacing w:after="0" w:line="240" w:lineRule="exact"/>
      <w:jc w:val="both"/>
    </w:pPr>
    <w:rPr>
      <w:vertAlign w:val="superscript"/>
    </w:rPr>
  </w:style>
  <w:style w:type="paragraph" w:styleId="af2">
    <w:name w:val="Revision"/>
    <w:hidden/>
    <w:uiPriority w:val="99"/>
    <w:semiHidden/>
    <w:rsid w:val="004E27F8"/>
    <w:pPr>
      <w:spacing w:after="0" w:line="240" w:lineRule="auto"/>
    </w:pPr>
  </w:style>
  <w:style w:type="character" w:customStyle="1" w:styleId="Char3">
    <w:name w:val="Παράγραφος λίστας Char"/>
    <w:basedOn w:val="a0"/>
    <w:link w:val="a9"/>
    <w:uiPriority w:val="34"/>
    <w:rsid w:val="005F5798"/>
  </w:style>
  <w:style w:type="paragraph" w:styleId="af3">
    <w:name w:val="Subtitle"/>
    <w:basedOn w:val="a"/>
    <w:next w:val="a"/>
    <w:link w:val="Char7"/>
    <w:qFormat/>
    <w:rsid w:val="00076819"/>
    <w:pPr>
      <w:numPr>
        <w:ilvl w:val="1"/>
      </w:numPr>
      <w:spacing w:line="276" w:lineRule="auto"/>
      <w:jc w:val="both"/>
    </w:pPr>
    <w:rPr>
      <w:rFonts w:eastAsiaTheme="minorEastAsia"/>
      <w:color w:val="5A5A5A" w:themeColor="text1" w:themeTint="A5"/>
      <w:spacing w:val="15"/>
      <w:lang w:val="el-GR" w:eastAsia="el-GR"/>
    </w:rPr>
  </w:style>
  <w:style w:type="character" w:customStyle="1" w:styleId="Char7">
    <w:name w:val="Υπότιτλος Char"/>
    <w:basedOn w:val="a0"/>
    <w:link w:val="af3"/>
    <w:rsid w:val="00076819"/>
    <w:rPr>
      <w:rFonts w:eastAsiaTheme="minorEastAsia"/>
      <w:color w:val="5A5A5A" w:themeColor="text1" w:themeTint="A5"/>
      <w:spacing w:val="15"/>
      <w:lang w:val="el-GR" w:eastAsia="el-GR"/>
    </w:rPr>
  </w:style>
  <w:style w:type="paragraph" w:styleId="af4">
    <w:name w:val="No Spacing"/>
    <w:uiPriority w:val="1"/>
    <w:qFormat/>
    <w:rsid w:val="00462C69"/>
    <w:pPr>
      <w:spacing w:after="0" w:line="240" w:lineRule="auto"/>
    </w:pPr>
    <w:rPr>
      <w:rFonts w:ascii="Times New Roman" w:eastAsia="Times New Roman" w:hAnsi="Times New Roman"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93732">
      <w:bodyDiv w:val="1"/>
      <w:marLeft w:val="0"/>
      <w:marRight w:val="0"/>
      <w:marTop w:val="0"/>
      <w:marBottom w:val="0"/>
      <w:divBdr>
        <w:top w:val="none" w:sz="0" w:space="0" w:color="auto"/>
        <w:left w:val="none" w:sz="0" w:space="0" w:color="auto"/>
        <w:bottom w:val="none" w:sz="0" w:space="0" w:color="auto"/>
        <w:right w:val="none" w:sz="0" w:space="0" w:color="auto"/>
      </w:divBdr>
    </w:div>
    <w:div w:id="205067553">
      <w:bodyDiv w:val="1"/>
      <w:marLeft w:val="0"/>
      <w:marRight w:val="0"/>
      <w:marTop w:val="0"/>
      <w:marBottom w:val="0"/>
      <w:divBdr>
        <w:top w:val="none" w:sz="0" w:space="0" w:color="auto"/>
        <w:left w:val="none" w:sz="0" w:space="0" w:color="auto"/>
        <w:bottom w:val="none" w:sz="0" w:space="0" w:color="auto"/>
        <w:right w:val="none" w:sz="0" w:space="0" w:color="auto"/>
      </w:divBdr>
    </w:div>
    <w:div w:id="266037580">
      <w:bodyDiv w:val="1"/>
      <w:marLeft w:val="0"/>
      <w:marRight w:val="0"/>
      <w:marTop w:val="0"/>
      <w:marBottom w:val="0"/>
      <w:divBdr>
        <w:top w:val="none" w:sz="0" w:space="0" w:color="auto"/>
        <w:left w:val="none" w:sz="0" w:space="0" w:color="auto"/>
        <w:bottom w:val="none" w:sz="0" w:space="0" w:color="auto"/>
        <w:right w:val="none" w:sz="0" w:space="0" w:color="auto"/>
      </w:divBdr>
    </w:div>
    <w:div w:id="564222718">
      <w:bodyDiv w:val="1"/>
      <w:marLeft w:val="0"/>
      <w:marRight w:val="0"/>
      <w:marTop w:val="0"/>
      <w:marBottom w:val="0"/>
      <w:divBdr>
        <w:top w:val="none" w:sz="0" w:space="0" w:color="auto"/>
        <w:left w:val="none" w:sz="0" w:space="0" w:color="auto"/>
        <w:bottom w:val="none" w:sz="0" w:space="0" w:color="auto"/>
        <w:right w:val="none" w:sz="0" w:space="0" w:color="auto"/>
      </w:divBdr>
    </w:div>
    <w:div w:id="595754229">
      <w:bodyDiv w:val="1"/>
      <w:marLeft w:val="0"/>
      <w:marRight w:val="0"/>
      <w:marTop w:val="0"/>
      <w:marBottom w:val="0"/>
      <w:divBdr>
        <w:top w:val="none" w:sz="0" w:space="0" w:color="auto"/>
        <w:left w:val="none" w:sz="0" w:space="0" w:color="auto"/>
        <w:bottom w:val="none" w:sz="0" w:space="0" w:color="auto"/>
        <w:right w:val="none" w:sz="0" w:space="0" w:color="auto"/>
      </w:divBdr>
    </w:div>
    <w:div w:id="726218878">
      <w:bodyDiv w:val="1"/>
      <w:marLeft w:val="0"/>
      <w:marRight w:val="0"/>
      <w:marTop w:val="0"/>
      <w:marBottom w:val="0"/>
      <w:divBdr>
        <w:top w:val="none" w:sz="0" w:space="0" w:color="auto"/>
        <w:left w:val="none" w:sz="0" w:space="0" w:color="auto"/>
        <w:bottom w:val="none" w:sz="0" w:space="0" w:color="auto"/>
        <w:right w:val="none" w:sz="0" w:space="0" w:color="auto"/>
      </w:divBdr>
    </w:div>
    <w:div w:id="1041175253">
      <w:bodyDiv w:val="1"/>
      <w:marLeft w:val="0"/>
      <w:marRight w:val="0"/>
      <w:marTop w:val="0"/>
      <w:marBottom w:val="0"/>
      <w:divBdr>
        <w:top w:val="none" w:sz="0" w:space="0" w:color="auto"/>
        <w:left w:val="none" w:sz="0" w:space="0" w:color="auto"/>
        <w:bottom w:val="none" w:sz="0" w:space="0" w:color="auto"/>
        <w:right w:val="none" w:sz="0" w:space="0" w:color="auto"/>
      </w:divBdr>
    </w:div>
    <w:div w:id="1103918515">
      <w:bodyDiv w:val="1"/>
      <w:marLeft w:val="0"/>
      <w:marRight w:val="0"/>
      <w:marTop w:val="0"/>
      <w:marBottom w:val="0"/>
      <w:divBdr>
        <w:top w:val="none" w:sz="0" w:space="0" w:color="auto"/>
        <w:left w:val="none" w:sz="0" w:space="0" w:color="auto"/>
        <w:bottom w:val="none" w:sz="0" w:space="0" w:color="auto"/>
        <w:right w:val="none" w:sz="0" w:space="0" w:color="auto"/>
      </w:divBdr>
    </w:div>
    <w:div w:id="1139611643">
      <w:bodyDiv w:val="1"/>
      <w:marLeft w:val="0"/>
      <w:marRight w:val="0"/>
      <w:marTop w:val="0"/>
      <w:marBottom w:val="0"/>
      <w:divBdr>
        <w:top w:val="none" w:sz="0" w:space="0" w:color="auto"/>
        <w:left w:val="none" w:sz="0" w:space="0" w:color="auto"/>
        <w:bottom w:val="none" w:sz="0" w:space="0" w:color="auto"/>
        <w:right w:val="none" w:sz="0" w:space="0" w:color="auto"/>
      </w:divBdr>
    </w:div>
    <w:div w:id="1178616648">
      <w:bodyDiv w:val="1"/>
      <w:marLeft w:val="0"/>
      <w:marRight w:val="0"/>
      <w:marTop w:val="0"/>
      <w:marBottom w:val="0"/>
      <w:divBdr>
        <w:top w:val="none" w:sz="0" w:space="0" w:color="auto"/>
        <w:left w:val="none" w:sz="0" w:space="0" w:color="auto"/>
        <w:bottom w:val="none" w:sz="0" w:space="0" w:color="auto"/>
        <w:right w:val="none" w:sz="0" w:space="0" w:color="auto"/>
      </w:divBdr>
    </w:div>
    <w:div w:id="1205603841">
      <w:bodyDiv w:val="1"/>
      <w:marLeft w:val="0"/>
      <w:marRight w:val="0"/>
      <w:marTop w:val="0"/>
      <w:marBottom w:val="0"/>
      <w:divBdr>
        <w:top w:val="none" w:sz="0" w:space="0" w:color="auto"/>
        <w:left w:val="none" w:sz="0" w:space="0" w:color="auto"/>
        <w:bottom w:val="none" w:sz="0" w:space="0" w:color="auto"/>
        <w:right w:val="none" w:sz="0" w:space="0" w:color="auto"/>
      </w:divBdr>
    </w:div>
    <w:div w:id="1350839609">
      <w:bodyDiv w:val="1"/>
      <w:marLeft w:val="0"/>
      <w:marRight w:val="0"/>
      <w:marTop w:val="0"/>
      <w:marBottom w:val="0"/>
      <w:divBdr>
        <w:top w:val="none" w:sz="0" w:space="0" w:color="auto"/>
        <w:left w:val="none" w:sz="0" w:space="0" w:color="auto"/>
        <w:bottom w:val="none" w:sz="0" w:space="0" w:color="auto"/>
        <w:right w:val="none" w:sz="0" w:space="0" w:color="auto"/>
      </w:divBdr>
    </w:div>
    <w:div w:id="1449860908">
      <w:bodyDiv w:val="1"/>
      <w:marLeft w:val="0"/>
      <w:marRight w:val="0"/>
      <w:marTop w:val="0"/>
      <w:marBottom w:val="0"/>
      <w:divBdr>
        <w:top w:val="none" w:sz="0" w:space="0" w:color="auto"/>
        <w:left w:val="none" w:sz="0" w:space="0" w:color="auto"/>
        <w:bottom w:val="none" w:sz="0" w:space="0" w:color="auto"/>
        <w:right w:val="none" w:sz="0" w:space="0" w:color="auto"/>
      </w:divBdr>
    </w:div>
    <w:div w:id="1629122952">
      <w:bodyDiv w:val="1"/>
      <w:marLeft w:val="0"/>
      <w:marRight w:val="0"/>
      <w:marTop w:val="0"/>
      <w:marBottom w:val="0"/>
      <w:divBdr>
        <w:top w:val="none" w:sz="0" w:space="0" w:color="auto"/>
        <w:left w:val="none" w:sz="0" w:space="0" w:color="auto"/>
        <w:bottom w:val="none" w:sz="0" w:space="0" w:color="auto"/>
        <w:right w:val="none" w:sz="0" w:space="0" w:color="auto"/>
      </w:divBdr>
    </w:div>
    <w:div w:id="1785420727">
      <w:bodyDiv w:val="1"/>
      <w:marLeft w:val="0"/>
      <w:marRight w:val="0"/>
      <w:marTop w:val="0"/>
      <w:marBottom w:val="0"/>
      <w:divBdr>
        <w:top w:val="none" w:sz="0" w:space="0" w:color="auto"/>
        <w:left w:val="none" w:sz="0" w:space="0" w:color="auto"/>
        <w:bottom w:val="none" w:sz="0" w:space="0" w:color="auto"/>
        <w:right w:val="none" w:sz="0" w:space="0" w:color="auto"/>
      </w:divBdr>
    </w:div>
    <w:div w:id="1978337571">
      <w:bodyDiv w:val="1"/>
      <w:marLeft w:val="0"/>
      <w:marRight w:val="0"/>
      <w:marTop w:val="0"/>
      <w:marBottom w:val="0"/>
      <w:divBdr>
        <w:top w:val="none" w:sz="0" w:space="0" w:color="auto"/>
        <w:left w:val="none" w:sz="0" w:space="0" w:color="auto"/>
        <w:bottom w:val="none" w:sz="0" w:space="0" w:color="auto"/>
        <w:right w:val="none" w:sz="0" w:space="0" w:color="auto"/>
      </w:divBdr>
    </w:div>
    <w:div w:id="205738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tiritirioanapirias.gr/"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esamea_&#916;&#949;&#954;&#949;&#956;&#946;&#961;&#953;&#959;&#962;_2020\GRAPHS_DELTIO%20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esamea_&#916;&#949;&#954;&#949;&#956;&#946;&#961;&#953;&#959;&#962;_2020\&#913;&#957;&#964;&#943;&#947;&#961;&#945;&#966;&#959;%20&#964;&#959;&#965;%20hlth_dpe040_&#917;&#925;&#932;&#913;&#931;&#919;%20&#917;&#929;&#915;&#913;&#931;&#921;&#913;&#93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esamea_&#916;&#949;&#954;&#949;&#956;&#946;&#961;&#953;&#959;&#962;_2020\&#934;&#932;&#937;&#935;&#917;&#921;&#913;%20&#922;&#913;&#921;%20&#913;&#928;&#927;&#922;&#923;&#917;&#921;&#931;&#924;&#927;&#931;_&#919;&#923;&#921;&#922;&#921;&#913;_201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917;&#922;&#920;&#917;&#931;&#919;%202020\&#931;&#932;&#913;&#932;&#921;&#931;&#932;&#921;&#922;&#913;\&#913;&#925;&#917;&#922;&#932;&#927;%20&#914;&#921;&#927;&#932;&#921;&#922;&#927;\&#934;&#932;&#937;&#935;&#917;&#921;&#913;%20&#922;&#913;&#921;%20&#913;&#928;&#927;&#922;&#923;&#917;&#921;&#931;&#924;&#927;&#931;\&#934;&#932;&#937;&#935;&#917;&#921;&#913;_&#913;&#928;&#927;&#922;&#923;&#917;&#921;&#931;&#924;&#927;&#931;_&#917;&#922;&#920;&#917;&#931;&#9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esamea_&#916;&#949;&#954;&#949;&#956;&#946;&#961;&#953;&#959;&#962;_2020\GRAPHS_DELTIO%20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esamea_&#916;&#949;&#954;&#949;&#956;&#946;&#961;&#953;&#959;&#962;_2020\&#954;&#953;&#957;&#948;&#965;&#957;&#959;&#962;%20&#966;&#964;&#974;&#967;&#949;&#953;&#945;&#962;%20&#956;&#949;&#964;&#940;%20&#964;&#953;&#962;%20&#956;&#949;&#964;&#945;&#946;&#953;&#946;&#945;&#963;&#949;&#953;&#96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esamea_&#916;&#949;&#954;&#949;&#956;&#946;&#961;&#953;&#959;&#962;_2020\risk%20of%20poverty_16-64.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esamea_&#916;&#949;&#954;&#949;&#956;&#946;&#961;&#953;&#959;&#962;_2020\&#913;&#957;&#964;&#943;&#947;&#961;&#945;&#966;&#959;%20&#964;&#959;&#965;%20hlth_dpe030-3_&#960;&#961;&#959;%20&#956;&#949;&#964;&#945;&#946;&#953;&#946;&#940;&#963;&#949;&#969;&#957;.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esamea_&#916;&#949;&#954;&#949;&#956;&#946;&#961;&#953;&#959;&#962;_2020\&#933;&#923;&#921;&#922;&#917;&#931;%20&#931;&#932;&#917;&#929;&#919;&#931;&#917;&#921;&#931;_16+.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esamea_&#916;&#949;&#954;&#949;&#956;&#946;&#961;&#953;&#959;&#962;_2020\&#933;&#923;&#921;&#922;&#917;&#931;%20&#931;&#932;&#917;&#929;&#919;&#931;&#917;&#921;&#931;_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2.777777777777803E-3"/>
                  <c:y val="1.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F0-4C59-83F2-3AAB1F51AF0B}"/>
                </c:ext>
              </c:extLst>
            </c:dLbl>
            <c:dLbl>
              <c:idx val="2"/>
              <c:layout>
                <c:manualLayout>
                  <c:x val="0"/>
                  <c:y val="-1.7777777777777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F0-4C59-83F2-3AAB1F51AF0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'ΓΡΑΦΗΜΑ 1'!$A$11:$A$13</c:f>
              <c:strCache>
                <c:ptCount val="3"/>
                <c:pt idx="0">
                  <c:v>Σοβαρή αναπηρία</c:v>
                </c:pt>
                <c:pt idx="1">
                  <c:v>Μέτρια αναπηρία</c:v>
                </c:pt>
                <c:pt idx="2">
                  <c:v>Χωρίς αναπηρία</c:v>
                </c:pt>
              </c:strCache>
            </c:strRef>
          </c:cat>
          <c:val>
            <c:numRef>
              <c:f>'ΓΡΑΦΗΜΑ 1'!$B$11:$B$13</c:f>
              <c:numCache>
                <c:formatCode>0.0%</c:formatCode>
                <c:ptCount val="3"/>
                <c:pt idx="0">
                  <c:v>0.36678171652817299</c:v>
                </c:pt>
                <c:pt idx="1">
                  <c:v>0.30663067868249011</c:v>
                </c:pt>
                <c:pt idx="2">
                  <c:v>0.28958548282094354</c:v>
                </c:pt>
              </c:numCache>
            </c:numRef>
          </c:val>
          <c:extLst>
            <c:ext xmlns:c16="http://schemas.microsoft.com/office/drawing/2014/chart" uri="{C3380CC4-5D6E-409C-BE32-E72D297353CC}">
              <c16:uniqueId val="{00000000-5B6B-4210-8981-7A8954F33875}"/>
            </c:ext>
          </c:extLst>
        </c:ser>
        <c:dLbls>
          <c:showLegendKey val="0"/>
          <c:showVal val="0"/>
          <c:showCatName val="0"/>
          <c:showSerName val="0"/>
          <c:showPercent val="0"/>
          <c:showBubbleSize val="0"/>
        </c:dLbls>
        <c:gapWidth val="219"/>
        <c:overlap val="-27"/>
        <c:axId val="109787776"/>
        <c:axId val="109797760"/>
      </c:barChart>
      <c:catAx>
        <c:axId val="10978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797760"/>
        <c:crosses val="autoZero"/>
        <c:auto val="1"/>
        <c:lblAlgn val="ctr"/>
        <c:lblOffset val="100"/>
        <c:noMultiLvlLbl val="0"/>
      </c:catAx>
      <c:valAx>
        <c:axId val="1097977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7877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(2)'!$A$13</c:f>
              <c:strCache>
                <c:ptCount val="1"/>
                <c:pt idx="0">
                  <c:v>Σοβαρή αναπηρία</c:v>
                </c:pt>
              </c:strCache>
            </c:strRef>
          </c:tx>
          <c:marker>
            <c:symbol val="none"/>
          </c:marker>
          <c:dLbls>
            <c:dLbl>
              <c:idx val="0"/>
              <c:layout>
                <c:manualLayout>
                  <c:x val="0"/>
                  <c:y val="-2.5784271594327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03-4170-A7FA-9A8719007520}"/>
                </c:ext>
              </c:extLst>
            </c:dLbl>
            <c:dLbl>
              <c:idx val="1"/>
              <c:layout>
                <c:manualLayout>
                  <c:x val="0"/>
                  <c:y val="-1.28921357971637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703-4170-A7FA-9A8719007520}"/>
                </c:ext>
              </c:extLst>
            </c:dLbl>
            <c:dLbl>
              <c:idx val="2"/>
              <c:layout>
                <c:manualLayout>
                  <c:x val="0"/>
                  <c:y val="-3.8676407391491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03-4170-A7FA-9A8719007520}"/>
                </c:ext>
              </c:extLst>
            </c:dLbl>
            <c:dLbl>
              <c:idx val="3"/>
              <c:layout>
                <c:manualLayout>
                  <c:x val="-4.617914747493398E-17"/>
                  <c:y val="-3.00816501933820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703-4170-A7FA-9A8719007520}"/>
                </c:ext>
              </c:extLst>
            </c:dLbl>
            <c:dLbl>
              <c:idx val="6"/>
              <c:layout>
                <c:manualLayout>
                  <c:x val="-9.2358294949867961E-17"/>
                  <c:y val="-2.1486892995272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703-4170-A7FA-9A8719007520}"/>
                </c:ext>
              </c:extLst>
            </c:dLbl>
            <c:dLbl>
              <c:idx val="7"/>
              <c:layout>
                <c:manualLayout>
                  <c:x val="0"/>
                  <c:y val="-3.437902879243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703-4170-A7FA-9A8719007520}"/>
                </c:ext>
              </c:extLst>
            </c:dLbl>
            <c:spPr>
              <a:noFill/>
              <a:ln>
                <a:noFill/>
              </a:ln>
              <a:effectLst/>
            </c:spPr>
            <c:txPr>
              <a:bodyPr wrap="square" lIns="38100" tIns="19050" rIns="38100" bIns="19050" anchor="ctr">
                <a:spAutoFit/>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 (2)'!$B$12:$K$12</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'Data (2)'!$B$13:$K$13</c:f>
              <c:numCache>
                <c:formatCode>#,##0.0</c:formatCode>
                <c:ptCount val="10"/>
                <c:pt idx="0">
                  <c:v>30.7</c:v>
                </c:pt>
                <c:pt idx="1">
                  <c:v>46.1</c:v>
                </c:pt>
                <c:pt idx="2">
                  <c:v>41.7</c:v>
                </c:pt>
                <c:pt idx="3">
                  <c:v>42.9</c:v>
                </c:pt>
                <c:pt idx="4">
                  <c:v>42.9</c:v>
                </c:pt>
                <c:pt idx="5">
                  <c:v>34.800000000000004</c:v>
                </c:pt>
                <c:pt idx="6">
                  <c:v>42.6</c:v>
                </c:pt>
                <c:pt idx="7">
                  <c:v>41.4</c:v>
                </c:pt>
                <c:pt idx="8">
                  <c:v>42.9</c:v>
                </c:pt>
                <c:pt idx="9">
                  <c:v>48.3</c:v>
                </c:pt>
              </c:numCache>
            </c:numRef>
          </c:val>
          <c:smooth val="0"/>
          <c:extLst>
            <c:ext xmlns:c16="http://schemas.microsoft.com/office/drawing/2014/chart" uri="{C3380CC4-5D6E-409C-BE32-E72D297353CC}">
              <c16:uniqueId val="{00000000-0D93-4ABC-B479-ECBFD1CA74F9}"/>
            </c:ext>
          </c:extLst>
        </c:ser>
        <c:ser>
          <c:idx val="1"/>
          <c:order val="1"/>
          <c:tx>
            <c:strRef>
              <c:f>'Data (2)'!$A$14</c:f>
              <c:strCache>
                <c:ptCount val="1"/>
                <c:pt idx="0">
                  <c:v>Μέτρια αναπηρία</c:v>
                </c:pt>
              </c:strCache>
            </c:strRef>
          </c:tx>
          <c:marker>
            <c:symbol val="none"/>
          </c:marker>
          <c:dLbls>
            <c:dLbl>
              <c:idx val="0"/>
              <c:layout>
                <c:manualLayout>
                  <c:x val="0"/>
                  <c:y val="-2.578427159432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703-4170-A7FA-9A8719007520}"/>
                </c:ext>
              </c:extLst>
            </c:dLbl>
            <c:dLbl>
              <c:idx val="5"/>
              <c:layout>
                <c:manualLayout>
                  <c:x val="0"/>
                  <c:y val="3.8676407391491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703-4170-A7FA-9A8719007520}"/>
                </c:ext>
              </c:extLst>
            </c:dLbl>
            <c:dLbl>
              <c:idx val="6"/>
              <c:layout>
                <c:manualLayout>
                  <c:x val="-9.2358294949867961E-17"/>
                  <c:y val="4.72711645896003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703-4170-A7FA-9A8719007520}"/>
                </c:ext>
              </c:extLst>
            </c:dLbl>
            <c:dLbl>
              <c:idx val="7"/>
              <c:layout>
                <c:manualLayout>
                  <c:x val="0"/>
                  <c:y val="1.2892135797163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703-4170-A7FA-9A8719007520}"/>
                </c:ext>
              </c:extLst>
            </c:dLbl>
            <c:dLbl>
              <c:idx val="8"/>
              <c:layout>
                <c:manualLayout>
                  <c:x val="0"/>
                  <c:y val="1.289213579716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703-4170-A7FA-9A8719007520}"/>
                </c:ext>
              </c:extLst>
            </c:dLbl>
            <c:spPr>
              <a:noFill/>
              <a:ln>
                <a:noFill/>
              </a:ln>
              <a:effectLst/>
            </c:spPr>
            <c:txPr>
              <a:bodyPr wrap="square" lIns="38100" tIns="19050" rIns="38100" bIns="19050" anchor="ctr">
                <a:spAutoFit/>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 (2)'!$B$12:$K$12</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'Data (2)'!$B$14:$K$14</c:f>
              <c:numCache>
                <c:formatCode>#,##0.0</c:formatCode>
                <c:ptCount val="10"/>
                <c:pt idx="0">
                  <c:v>22.7</c:v>
                </c:pt>
                <c:pt idx="1">
                  <c:v>22.6</c:v>
                </c:pt>
                <c:pt idx="2">
                  <c:v>31.6</c:v>
                </c:pt>
                <c:pt idx="3">
                  <c:v>37.800000000000004</c:v>
                </c:pt>
                <c:pt idx="4">
                  <c:v>32.1</c:v>
                </c:pt>
                <c:pt idx="5">
                  <c:v>27</c:v>
                </c:pt>
                <c:pt idx="6">
                  <c:v>27.9</c:v>
                </c:pt>
                <c:pt idx="7">
                  <c:v>26.3</c:v>
                </c:pt>
                <c:pt idx="8">
                  <c:v>29.3</c:v>
                </c:pt>
                <c:pt idx="9">
                  <c:v>32.800000000000004</c:v>
                </c:pt>
              </c:numCache>
            </c:numRef>
          </c:val>
          <c:smooth val="0"/>
          <c:extLst>
            <c:ext xmlns:c16="http://schemas.microsoft.com/office/drawing/2014/chart" uri="{C3380CC4-5D6E-409C-BE32-E72D297353CC}">
              <c16:uniqueId val="{00000001-0D93-4ABC-B479-ECBFD1CA74F9}"/>
            </c:ext>
          </c:extLst>
        </c:ser>
        <c:ser>
          <c:idx val="2"/>
          <c:order val="2"/>
          <c:tx>
            <c:strRef>
              <c:f>'Data (2)'!$A$15</c:f>
              <c:strCache>
                <c:ptCount val="1"/>
                <c:pt idx="0">
                  <c:v>Χωρίς αναπηρία</c:v>
                </c:pt>
              </c:strCache>
            </c:strRef>
          </c:tx>
          <c:marker>
            <c:symbol val="none"/>
          </c:marker>
          <c:dLbls>
            <c:dLbl>
              <c:idx val="0"/>
              <c:layout>
                <c:manualLayout>
                  <c:x val="0"/>
                  <c:y val="1.289213579716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703-4170-A7FA-9A8719007520}"/>
                </c:ext>
              </c:extLst>
            </c:dLbl>
            <c:dLbl>
              <c:idx val="1"/>
              <c:layout>
                <c:manualLayout>
                  <c:x val="0"/>
                  <c:y val="-5.1568543188655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703-4170-A7FA-9A8719007520}"/>
                </c:ext>
              </c:extLst>
            </c:dLbl>
            <c:dLbl>
              <c:idx val="2"/>
              <c:layout>
                <c:manualLayout>
                  <c:x val="0"/>
                  <c:y val="1.289213579716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703-4170-A7FA-9A8719007520}"/>
                </c:ext>
              </c:extLst>
            </c:dLbl>
            <c:dLbl>
              <c:idx val="3"/>
              <c:layout>
                <c:manualLayout>
                  <c:x val="-4.617914747493398E-17"/>
                  <c:y val="3.00816501933821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703-4170-A7FA-9A8719007520}"/>
                </c:ext>
              </c:extLst>
            </c:dLbl>
            <c:dLbl>
              <c:idx val="4"/>
              <c:layout>
                <c:manualLayout>
                  <c:x val="0"/>
                  <c:y val="3.4379028792436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703-4170-A7FA-9A8719007520}"/>
                </c:ext>
              </c:extLst>
            </c:dLbl>
            <c:dLbl>
              <c:idx val="5"/>
              <c:layout>
                <c:manualLayout>
                  <c:x val="0"/>
                  <c:y val="3.00816501933819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703-4170-A7FA-9A8719007520}"/>
                </c:ext>
              </c:extLst>
            </c:dLbl>
            <c:dLbl>
              <c:idx val="6"/>
              <c:layout>
                <c:manualLayout>
                  <c:x val="-9.2358294949867961E-17"/>
                  <c:y val="3.8676407391491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703-4170-A7FA-9A8719007520}"/>
                </c:ext>
              </c:extLst>
            </c:dLbl>
            <c:dLbl>
              <c:idx val="7"/>
              <c:layout>
                <c:manualLayout>
                  <c:x val="0"/>
                  <c:y val="-2.578427159432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703-4170-A7FA-9A8719007520}"/>
                </c:ext>
              </c:extLst>
            </c:dLbl>
            <c:dLbl>
              <c:idx val="8"/>
              <c:layout>
                <c:manualLayout>
                  <c:x val="0"/>
                  <c:y val="-2.578427159432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703-4170-A7FA-9A8719007520}"/>
                </c:ext>
              </c:extLst>
            </c:dLbl>
            <c:spPr>
              <a:noFill/>
              <a:ln>
                <a:noFill/>
              </a:ln>
              <a:effectLst/>
            </c:spPr>
            <c:txPr>
              <a:bodyPr wrap="square" lIns="38100" tIns="19050" rIns="38100" bIns="19050" anchor="ctr">
                <a:spAutoFit/>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 (2)'!$B$12:$K$12</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'Data (2)'!$B$15:$K$15</c:f>
              <c:numCache>
                <c:formatCode>#,##0.0</c:formatCode>
                <c:ptCount val="10"/>
                <c:pt idx="0">
                  <c:v>7.4</c:v>
                </c:pt>
                <c:pt idx="1">
                  <c:v>11.6</c:v>
                </c:pt>
                <c:pt idx="2">
                  <c:v>13.8</c:v>
                </c:pt>
                <c:pt idx="3">
                  <c:v>16.899999999999999</c:v>
                </c:pt>
                <c:pt idx="4">
                  <c:v>17</c:v>
                </c:pt>
                <c:pt idx="5">
                  <c:v>17</c:v>
                </c:pt>
                <c:pt idx="6">
                  <c:v>17</c:v>
                </c:pt>
                <c:pt idx="7">
                  <c:v>15.4</c:v>
                </c:pt>
                <c:pt idx="8">
                  <c:v>14.3</c:v>
                </c:pt>
                <c:pt idx="9">
                  <c:v>13</c:v>
                </c:pt>
              </c:numCache>
            </c:numRef>
          </c:val>
          <c:smooth val="0"/>
          <c:extLst>
            <c:ext xmlns:c16="http://schemas.microsoft.com/office/drawing/2014/chart" uri="{C3380CC4-5D6E-409C-BE32-E72D297353CC}">
              <c16:uniqueId val="{00000002-0D93-4ABC-B479-ECBFD1CA74F9}"/>
            </c:ext>
          </c:extLst>
        </c:ser>
        <c:dLbls>
          <c:showLegendKey val="0"/>
          <c:showVal val="0"/>
          <c:showCatName val="0"/>
          <c:showSerName val="0"/>
          <c:showPercent val="0"/>
          <c:showBubbleSize val="0"/>
        </c:dLbls>
        <c:smooth val="0"/>
        <c:axId val="124792832"/>
        <c:axId val="124794368"/>
      </c:lineChart>
      <c:catAx>
        <c:axId val="124792832"/>
        <c:scaling>
          <c:orientation val="minMax"/>
        </c:scaling>
        <c:delete val="0"/>
        <c:axPos val="b"/>
        <c:numFmt formatCode="General" sourceLinked="0"/>
        <c:majorTickMark val="none"/>
        <c:minorTickMark val="none"/>
        <c:tickLblPos val="nextTo"/>
        <c:crossAx val="124794368"/>
        <c:crosses val="autoZero"/>
        <c:auto val="1"/>
        <c:lblAlgn val="ctr"/>
        <c:lblOffset val="100"/>
        <c:noMultiLvlLbl val="0"/>
      </c:catAx>
      <c:valAx>
        <c:axId val="124794368"/>
        <c:scaling>
          <c:orientation val="minMax"/>
        </c:scaling>
        <c:delete val="0"/>
        <c:axPos val="l"/>
        <c:numFmt formatCode="#,##0.0" sourceLinked="1"/>
        <c:majorTickMark val="none"/>
        <c:minorTickMark val="none"/>
        <c:tickLblPos val="nextTo"/>
        <c:spPr>
          <a:ln w="9525">
            <a:noFill/>
          </a:ln>
        </c:spPr>
        <c:crossAx val="12479283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Φύλλο1!$A$2</c:f>
              <c:strCache>
                <c:ptCount val="1"/>
                <c:pt idx="0">
                  <c:v>ΣΟΒΑΡΗ ΑΝΑΠΗΡΙΑ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Φύλλο1!$B$1:$G$1</c:f>
              <c:strCache>
                <c:ptCount val="6"/>
                <c:pt idx="0">
                  <c:v>16-24 ετών</c:v>
                </c:pt>
                <c:pt idx="1">
                  <c:v>25-34 ετών</c:v>
                </c:pt>
                <c:pt idx="2">
                  <c:v>35-44 ετών</c:v>
                </c:pt>
                <c:pt idx="3">
                  <c:v>45-54 ετών</c:v>
                </c:pt>
                <c:pt idx="4">
                  <c:v>55-64 ετών</c:v>
                </c:pt>
                <c:pt idx="5">
                  <c:v>65 και άνω </c:v>
                </c:pt>
              </c:strCache>
            </c:strRef>
          </c:cat>
          <c:val>
            <c:numRef>
              <c:f>Φύλλο1!$B$2:$G$2</c:f>
              <c:numCache>
                <c:formatCode>#,##0.0</c:formatCode>
                <c:ptCount val="6"/>
                <c:pt idx="0">
                  <c:v>42.1</c:v>
                </c:pt>
                <c:pt idx="1">
                  <c:v>69.2</c:v>
                </c:pt>
                <c:pt idx="2">
                  <c:v>67.599999999999994</c:v>
                </c:pt>
                <c:pt idx="3">
                  <c:v>58.6</c:v>
                </c:pt>
                <c:pt idx="4">
                  <c:v>50.9</c:v>
                </c:pt>
                <c:pt idx="5">
                  <c:v>26</c:v>
                </c:pt>
              </c:numCache>
            </c:numRef>
          </c:val>
          <c:extLst>
            <c:ext xmlns:c16="http://schemas.microsoft.com/office/drawing/2014/chart" uri="{C3380CC4-5D6E-409C-BE32-E72D297353CC}">
              <c16:uniqueId val="{00000000-D25C-4D84-9C85-B3D4CC516D2F}"/>
            </c:ext>
          </c:extLst>
        </c:ser>
        <c:ser>
          <c:idx val="1"/>
          <c:order val="1"/>
          <c:tx>
            <c:strRef>
              <c:f>Φύλλο1!$A$3</c:f>
              <c:strCache>
                <c:ptCount val="1"/>
                <c:pt idx="0">
                  <c:v>ΧΩΡΙΣ ΑΝΑΠΗΡΙΑ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Φύλλο1!$B$1:$G$1</c:f>
              <c:strCache>
                <c:ptCount val="6"/>
                <c:pt idx="0">
                  <c:v>16-24 ετών</c:v>
                </c:pt>
                <c:pt idx="1">
                  <c:v>25-34 ετών</c:v>
                </c:pt>
                <c:pt idx="2">
                  <c:v>35-44 ετών</c:v>
                </c:pt>
                <c:pt idx="3">
                  <c:v>45-54 ετών</c:v>
                </c:pt>
                <c:pt idx="4">
                  <c:v>55-64 ετών</c:v>
                </c:pt>
                <c:pt idx="5">
                  <c:v>65 και άνω </c:v>
                </c:pt>
              </c:strCache>
            </c:strRef>
          </c:cat>
          <c:val>
            <c:numRef>
              <c:f>Φύλλο1!$B$3:$G$3</c:f>
              <c:numCache>
                <c:formatCode>#,##0.0</c:formatCode>
                <c:ptCount val="6"/>
                <c:pt idx="0">
                  <c:v>38.9</c:v>
                </c:pt>
                <c:pt idx="1">
                  <c:v>32</c:v>
                </c:pt>
                <c:pt idx="2">
                  <c:v>26.4</c:v>
                </c:pt>
                <c:pt idx="3">
                  <c:v>28.6</c:v>
                </c:pt>
                <c:pt idx="4">
                  <c:v>32.800000000000004</c:v>
                </c:pt>
                <c:pt idx="5">
                  <c:v>16.3</c:v>
                </c:pt>
              </c:numCache>
            </c:numRef>
          </c:val>
          <c:extLst>
            <c:ext xmlns:c16="http://schemas.microsoft.com/office/drawing/2014/chart" uri="{C3380CC4-5D6E-409C-BE32-E72D297353CC}">
              <c16:uniqueId val="{00000001-D25C-4D84-9C85-B3D4CC516D2F}"/>
            </c:ext>
          </c:extLst>
        </c:ser>
        <c:dLbls>
          <c:showLegendKey val="0"/>
          <c:showVal val="0"/>
          <c:showCatName val="0"/>
          <c:showSerName val="0"/>
          <c:showPercent val="0"/>
          <c:showBubbleSize val="0"/>
        </c:dLbls>
        <c:gapWidth val="75"/>
        <c:overlap val="-25"/>
        <c:axId val="109804928"/>
        <c:axId val="109810816"/>
      </c:barChart>
      <c:catAx>
        <c:axId val="109804928"/>
        <c:scaling>
          <c:orientation val="minMax"/>
        </c:scaling>
        <c:delete val="0"/>
        <c:axPos val="b"/>
        <c:numFmt formatCode="General" sourceLinked="0"/>
        <c:majorTickMark val="none"/>
        <c:minorTickMark val="none"/>
        <c:tickLblPos val="nextTo"/>
        <c:crossAx val="109810816"/>
        <c:crosses val="autoZero"/>
        <c:auto val="1"/>
        <c:lblAlgn val="ctr"/>
        <c:lblOffset val="100"/>
        <c:noMultiLvlLbl val="0"/>
      </c:catAx>
      <c:valAx>
        <c:axId val="109810816"/>
        <c:scaling>
          <c:orientation val="minMax"/>
        </c:scaling>
        <c:delete val="0"/>
        <c:axPos val="l"/>
        <c:numFmt formatCode="#,##0.0" sourceLinked="1"/>
        <c:majorTickMark val="none"/>
        <c:minorTickMark val="none"/>
        <c:tickLblPos val="nextTo"/>
        <c:spPr>
          <a:ln w="9525">
            <a:noFill/>
          </a:ln>
        </c:spPr>
        <c:crossAx val="10980492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'16-64'!$A$7</c:f>
              <c:strCache>
                <c:ptCount val="1"/>
                <c:pt idx="0">
                  <c:v>ΣΟΒΑΡΗ ΑΝΑΠΗΡΙΑ</c:v>
                </c:pt>
              </c:strCache>
            </c:strRef>
          </c:tx>
          <c:spPr>
            <a:solidFill>
              <a:schemeClr val="accent1"/>
            </a:solidFill>
            <a:ln>
              <a:noFill/>
            </a:ln>
            <a:effectLst/>
          </c:spPr>
          <c:invertIfNegative val="0"/>
          <c:cat>
            <c:strRef>
              <c:f>'16-64'!$B$6:$K$6</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'16-64'!$B$7:$K$7</c:f>
              <c:numCache>
                <c:formatCode>#,##0.0</c:formatCode>
                <c:ptCount val="10"/>
                <c:pt idx="0">
                  <c:v>43.3</c:v>
                </c:pt>
                <c:pt idx="1">
                  <c:v>56.5</c:v>
                </c:pt>
                <c:pt idx="2">
                  <c:v>57</c:v>
                </c:pt>
                <c:pt idx="3">
                  <c:v>60.7</c:v>
                </c:pt>
                <c:pt idx="4">
                  <c:v>55.5</c:v>
                </c:pt>
                <c:pt idx="5">
                  <c:v>54.5</c:v>
                </c:pt>
                <c:pt idx="6">
                  <c:v>58.2</c:v>
                </c:pt>
                <c:pt idx="7">
                  <c:v>59.4</c:v>
                </c:pt>
                <c:pt idx="8">
                  <c:v>58.2</c:v>
                </c:pt>
                <c:pt idx="9" formatCode="0.0">
                  <c:v>57.2</c:v>
                </c:pt>
              </c:numCache>
            </c:numRef>
          </c:val>
          <c:extLst>
            <c:ext xmlns:c16="http://schemas.microsoft.com/office/drawing/2014/chart" uri="{C3380CC4-5D6E-409C-BE32-E72D297353CC}">
              <c16:uniqueId val="{00000000-A35B-A04F-AD22-ECC2A4257593}"/>
            </c:ext>
          </c:extLst>
        </c:ser>
        <c:ser>
          <c:idx val="1"/>
          <c:order val="1"/>
          <c:tx>
            <c:strRef>
              <c:f>'16-64'!$A$8</c:f>
              <c:strCache>
                <c:ptCount val="1"/>
                <c:pt idx="0">
                  <c:v>ΧΩΡΙΣ ΑΝΑΠΗΡΙΑ</c:v>
                </c:pt>
              </c:strCache>
            </c:strRef>
          </c:tx>
          <c:spPr>
            <a:solidFill>
              <a:schemeClr val="accent2"/>
            </a:solidFill>
            <a:ln>
              <a:noFill/>
            </a:ln>
            <a:effectLst/>
          </c:spPr>
          <c:invertIfNegative val="0"/>
          <c:cat>
            <c:strRef>
              <c:f>'16-64'!$B$6:$K$6</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'16-64'!$B$8:$K$8</c:f>
              <c:numCache>
                <c:formatCode>#,##0.0</c:formatCode>
                <c:ptCount val="10"/>
                <c:pt idx="0">
                  <c:v>26.7</c:v>
                </c:pt>
                <c:pt idx="1">
                  <c:v>30.3</c:v>
                </c:pt>
                <c:pt idx="2">
                  <c:v>36.6</c:v>
                </c:pt>
                <c:pt idx="3">
                  <c:v>36.800000000000004</c:v>
                </c:pt>
                <c:pt idx="4">
                  <c:v>38.6</c:v>
                </c:pt>
                <c:pt idx="5">
                  <c:v>38.1</c:v>
                </c:pt>
                <c:pt idx="6">
                  <c:v>37.9</c:v>
                </c:pt>
                <c:pt idx="7">
                  <c:v>36.6</c:v>
                </c:pt>
                <c:pt idx="8">
                  <c:v>33.4</c:v>
                </c:pt>
                <c:pt idx="9">
                  <c:v>31</c:v>
                </c:pt>
              </c:numCache>
            </c:numRef>
          </c:val>
          <c:extLst>
            <c:ext xmlns:c16="http://schemas.microsoft.com/office/drawing/2014/chart" uri="{C3380CC4-5D6E-409C-BE32-E72D297353CC}">
              <c16:uniqueId val="{00000001-A35B-A04F-AD22-ECC2A4257593}"/>
            </c:ext>
          </c:extLst>
        </c:ser>
        <c:dLbls>
          <c:showLegendKey val="0"/>
          <c:showVal val="0"/>
          <c:showCatName val="0"/>
          <c:showSerName val="0"/>
          <c:showPercent val="0"/>
          <c:showBubbleSize val="0"/>
        </c:dLbls>
        <c:gapWidth val="150"/>
        <c:axId val="117121024"/>
        <c:axId val="117122560"/>
      </c:barChart>
      <c:catAx>
        <c:axId val="11712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17122560"/>
        <c:crosses val="autoZero"/>
        <c:auto val="1"/>
        <c:lblAlgn val="ctr"/>
        <c:lblOffset val="100"/>
        <c:noMultiLvlLbl val="0"/>
      </c:catAx>
      <c:valAx>
        <c:axId val="1171225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en-US"/>
          </a:p>
        </c:txPr>
        <c:crossAx val="1171210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Constantia" panose="02030602050306030303"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'ΓΡΑΦΗΜΑ 3'!$A$10</c:f>
              <c:strCache>
                <c:ptCount val="1"/>
                <c:pt idx="0">
                  <c:v>Χάσμα κινδύνου Φτώχειας ή αποκλεισμού (%πληθυσμού με σοβαρή αναπηρία-%πληθυσμού χωρίς αναπηρία)</c:v>
                </c:pt>
              </c:strCache>
            </c:strRef>
          </c:tx>
          <c:marker>
            <c:symbol val="none"/>
          </c:marker>
          <c:dLbls>
            <c:dLbl>
              <c:idx val="1"/>
              <c:layout>
                <c:manualLayout>
                  <c:x val="-4.6361880231809427E-2"/>
                  <c:y val="-4.08466394355737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D7-422E-B1EA-4EF49C37EF08}"/>
                </c:ext>
              </c:extLst>
            </c:dLbl>
            <c:dLbl>
              <c:idx val="2"/>
              <c:layout>
                <c:manualLayout>
                  <c:x val="-3.8634900193174504E-2"/>
                  <c:y val="4.4559970293353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D7-422E-B1EA-4EF49C37EF08}"/>
                </c:ext>
              </c:extLst>
            </c:dLbl>
            <c:dLbl>
              <c:idx val="4"/>
              <c:layout>
                <c:manualLayout>
                  <c:x val="-1.5453960077269801E-2"/>
                  <c:y val="-4.4559970293353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D7-422E-B1EA-4EF49C37EF08}"/>
                </c:ext>
              </c:extLst>
            </c:dLbl>
            <c:dLbl>
              <c:idx val="6"/>
              <c:layout>
                <c:manualLayout>
                  <c:x val="-2.8332260141661396E-2"/>
                  <c:y val="-8.5406609728926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D7-422E-B1EA-4EF49C37EF08}"/>
                </c:ext>
              </c:extLst>
            </c:dLbl>
            <c:dLbl>
              <c:idx val="7"/>
              <c:layout>
                <c:manualLayout>
                  <c:x val="-1.2878300064391595E-2"/>
                  <c:y val="3.34199777200148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D7-422E-B1EA-4EF49C37EF08}"/>
                </c:ext>
              </c:extLst>
            </c:dLbl>
            <c:dLbl>
              <c:idx val="8"/>
              <c:layout>
                <c:manualLayout>
                  <c:x val="-3.0907920154539602E-2"/>
                  <c:y val="-7.0553286297809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D7-422E-B1EA-4EF49C37EF08}"/>
                </c:ext>
              </c:extLst>
            </c:dLbl>
            <c:spPr>
              <a:noFill/>
              <a:ln>
                <a:noFill/>
              </a:ln>
              <a:effectLst/>
            </c:spPr>
            <c:txPr>
              <a:bodyPr wrap="square" lIns="38100" tIns="19050" rIns="38100" bIns="19050" anchor="ctr">
                <a:spAutoFit/>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'ΓΡΑΦΗΜΑ 3'!$B$6:$K$6</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'ΓΡΑΦΗΜΑ 3'!$B$10:$K$10</c:f>
              <c:numCache>
                <c:formatCode>#,##0.0</c:formatCode>
                <c:ptCount val="10"/>
                <c:pt idx="0">
                  <c:v>16.599999999999987</c:v>
                </c:pt>
                <c:pt idx="1">
                  <c:v>26.2</c:v>
                </c:pt>
                <c:pt idx="2">
                  <c:v>20.399999999999999</c:v>
                </c:pt>
                <c:pt idx="3">
                  <c:v>23.900000000000006</c:v>
                </c:pt>
                <c:pt idx="4">
                  <c:v>16.899999999999999</c:v>
                </c:pt>
                <c:pt idx="5">
                  <c:v>16.399999999999999</c:v>
                </c:pt>
                <c:pt idx="6">
                  <c:v>20.300000000000004</c:v>
                </c:pt>
                <c:pt idx="7">
                  <c:v>22.799999999999986</c:v>
                </c:pt>
                <c:pt idx="8">
                  <c:v>24.800000000000004</c:v>
                </c:pt>
                <c:pt idx="9">
                  <c:v>26.200000000000003</c:v>
                </c:pt>
              </c:numCache>
            </c:numRef>
          </c:val>
          <c:smooth val="0"/>
          <c:extLst>
            <c:ext xmlns:c16="http://schemas.microsoft.com/office/drawing/2014/chart" uri="{C3380CC4-5D6E-409C-BE32-E72D297353CC}">
              <c16:uniqueId val="{00000000-4AD9-4462-B170-26A0B162B54C}"/>
            </c:ext>
          </c:extLst>
        </c:ser>
        <c:dLbls>
          <c:showLegendKey val="0"/>
          <c:showVal val="0"/>
          <c:showCatName val="0"/>
          <c:showSerName val="0"/>
          <c:showPercent val="0"/>
          <c:showBubbleSize val="0"/>
        </c:dLbls>
        <c:smooth val="0"/>
        <c:axId val="105264256"/>
        <c:axId val="105265792"/>
      </c:lineChart>
      <c:catAx>
        <c:axId val="105264256"/>
        <c:scaling>
          <c:orientation val="minMax"/>
        </c:scaling>
        <c:delete val="0"/>
        <c:axPos val="b"/>
        <c:numFmt formatCode="General" sourceLinked="0"/>
        <c:majorTickMark val="none"/>
        <c:minorTickMark val="none"/>
        <c:tickLblPos val="nextTo"/>
        <c:crossAx val="105265792"/>
        <c:crosses val="autoZero"/>
        <c:auto val="1"/>
        <c:lblAlgn val="ctr"/>
        <c:lblOffset val="100"/>
        <c:noMultiLvlLbl val="0"/>
      </c:catAx>
      <c:valAx>
        <c:axId val="105265792"/>
        <c:scaling>
          <c:orientation val="minMax"/>
        </c:scaling>
        <c:delete val="0"/>
        <c:axPos val="l"/>
        <c:majorGridlines/>
        <c:numFmt formatCode="#,##0.0" sourceLinked="1"/>
        <c:majorTickMark val="none"/>
        <c:minorTickMark val="none"/>
        <c:tickLblPos val="nextTo"/>
        <c:spPr>
          <a:ln w="9525">
            <a:noFill/>
          </a:ln>
        </c:spPr>
        <c:crossAx val="105264256"/>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Φύλλο1!$C$2</c:f>
              <c:strCache>
                <c:ptCount val="1"/>
                <c:pt idx="0">
                  <c:v>Σοβαρή και μέτρια αναπηρία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Φύλλο1!$B$3:$B$9</c:f>
              <c:strCache>
                <c:ptCount val="7"/>
                <c:pt idx="0">
                  <c:v>16-24 ετών</c:v>
                </c:pt>
                <c:pt idx="1">
                  <c:v>25-34 ετών</c:v>
                </c:pt>
                <c:pt idx="2">
                  <c:v>35-44 ετών</c:v>
                </c:pt>
                <c:pt idx="3">
                  <c:v>45-54 ετών</c:v>
                </c:pt>
                <c:pt idx="4">
                  <c:v>55-64 ετών</c:v>
                </c:pt>
                <c:pt idx="5">
                  <c:v>65+ ετών</c:v>
                </c:pt>
                <c:pt idx="6">
                  <c:v>Σύνολο</c:v>
                </c:pt>
              </c:strCache>
            </c:strRef>
          </c:cat>
          <c:val>
            <c:numRef>
              <c:f>Φύλλο1!$C$3:$C$9</c:f>
              <c:numCache>
                <c:formatCode>#,##0.0</c:formatCode>
                <c:ptCount val="7"/>
                <c:pt idx="0">
                  <c:v>29.6</c:v>
                </c:pt>
                <c:pt idx="1">
                  <c:v>30.7</c:v>
                </c:pt>
                <c:pt idx="2">
                  <c:v>25.3</c:v>
                </c:pt>
                <c:pt idx="3">
                  <c:v>24.6</c:v>
                </c:pt>
                <c:pt idx="4">
                  <c:v>24.3</c:v>
                </c:pt>
                <c:pt idx="5">
                  <c:v>13.9</c:v>
                </c:pt>
                <c:pt idx="6">
                  <c:v>17.7</c:v>
                </c:pt>
              </c:numCache>
            </c:numRef>
          </c:val>
          <c:extLst>
            <c:ext xmlns:c16="http://schemas.microsoft.com/office/drawing/2014/chart" uri="{C3380CC4-5D6E-409C-BE32-E72D297353CC}">
              <c16:uniqueId val="{00000000-BA5F-4B53-86CB-0D1DEA0C7006}"/>
            </c:ext>
          </c:extLst>
        </c:ser>
        <c:ser>
          <c:idx val="1"/>
          <c:order val="1"/>
          <c:tx>
            <c:strRef>
              <c:f>Φύλλο1!$D$2</c:f>
              <c:strCache>
                <c:ptCount val="1"/>
                <c:pt idx="0">
                  <c:v>Χωρίς αναπηρία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Φύλλο1!$B$3:$B$9</c:f>
              <c:strCache>
                <c:ptCount val="7"/>
                <c:pt idx="0">
                  <c:v>16-24 ετών</c:v>
                </c:pt>
                <c:pt idx="1">
                  <c:v>25-34 ετών</c:v>
                </c:pt>
                <c:pt idx="2">
                  <c:v>35-44 ετών</c:v>
                </c:pt>
                <c:pt idx="3">
                  <c:v>45-54 ετών</c:v>
                </c:pt>
                <c:pt idx="4">
                  <c:v>55-64 ετών</c:v>
                </c:pt>
                <c:pt idx="5">
                  <c:v>65+ ετών</c:v>
                </c:pt>
                <c:pt idx="6">
                  <c:v>Σύνολο</c:v>
                </c:pt>
              </c:strCache>
            </c:strRef>
          </c:cat>
          <c:val>
            <c:numRef>
              <c:f>Φύλλο1!$D$3:$D$9</c:f>
              <c:numCache>
                <c:formatCode>#,##0.0</c:formatCode>
                <c:ptCount val="7"/>
                <c:pt idx="0">
                  <c:v>25.8</c:v>
                </c:pt>
                <c:pt idx="1">
                  <c:v>17.100000000000001</c:v>
                </c:pt>
                <c:pt idx="2">
                  <c:v>16.399999999999999</c:v>
                </c:pt>
                <c:pt idx="3">
                  <c:v>17.5</c:v>
                </c:pt>
                <c:pt idx="4">
                  <c:v>16.7</c:v>
                </c:pt>
                <c:pt idx="5">
                  <c:v>9.4</c:v>
                </c:pt>
                <c:pt idx="6">
                  <c:v>17</c:v>
                </c:pt>
              </c:numCache>
            </c:numRef>
          </c:val>
          <c:extLst>
            <c:ext xmlns:c16="http://schemas.microsoft.com/office/drawing/2014/chart" uri="{C3380CC4-5D6E-409C-BE32-E72D297353CC}">
              <c16:uniqueId val="{00000001-BA5F-4B53-86CB-0D1DEA0C7006}"/>
            </c:ext>
          </c:extLst>
        </c:ser>
        <c:dLbls>
          <c:showLegendKey val="0"/>
          <c:showVal val="0"/>
          <c:showCatName val="0"/>
          <c:showSerName val="0"/>
          <c:showPercent val="0"/>
          <c:showBubbleSize val="0"/>
        </c:dLbls>
        <c:gapWidth val="75"/>
        <c:overlap val="-25"/>
        <c:axId val="105270272"/>
        <c:axId val="105288448"/>
      </c:barChart>
      <c:catAx>
        <c:axId val="105270272"/>
        <c:scaling>
          <c:orientation val="minMax"/>
        </c:scaling>
        <c:delete val="0"/>
        <c:axPos val="b"/>
        <c:numFmt formatCode="General" sourceLinked="0"/>
        <c:majorTickMark val="none"/>
        <c:minorTickMark val="none"/>
        <c:tickLblPos val="nextTo"/>
        <c:crossAx val="105288448"/>
        <c:crosses val="autoZero"/>
        <c:auto val="1"/>
        <c:lblAlgn val="ctr"/>
        <c:lblOffset val="100"/>
        <c:noMultiLvlLbl val="0"/>
      </c:catAx>
      <c:valAx>
        <c:axId val="105288448"/>
        <c:scaling>
          <c:orientation val="minMax"/>
        </c:scaling>
        <c:delete val="0"/>
        <c:axPos val="l"/>
        <c:numFmt formatCode="#,##0.0" sourceLinked="1"/>
        <c:majorTickMark val="none"/>
        <c:minorTickMark val="none"/>
        <c:tickLblPos val="nextTo"/>
        <c:spPr>
          <a:ln w="9525">
            <a:noFill/>
          </a:ln>
        </c:spPr>
        <c:crossAx val="105270272"/>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'Data (2)'!$A$13</c:f>
              <c:strCache>
                <c:ptCount val="1"/>
                <c:pt idx="0">
                  <c:v>Σοβαρή αναπηρία</c:v>
                </c:pt>
              </c:strCache>
            </c:strRef>
          </c:tx>
          <c:marker>
            <c:symbol val="none"/>
          </c:marker>
          <c:dLbls>
            <c:dLbl>
              <c:idx val="1"/>
              <c:layout>
                <c:manualLayout>
                  <c:x val="-4.4923110873679956E-17"/>
                  <c:y val="3.16330565440885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60-4008-BAB3-1354EBE3391B}"/>
                </c:ext>
              </c:extLst>
            </c:dLbl>
            <c:dLbl>
              <c:idx val="3"/>
              <c:layout>
                <c:manualLayout>
                  <c:x val="0"/>
                  <c:y val="-1.97706603400553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60-4008-BAB3-1354EBE3391B}"/>
                </c:ext>
              </c:extLst>
            </c:dLbl>
            <c:dLbl>
              <c:idx val="4"/>
              <c:layout>
                <c:manualLayout>
                  <c:x val="0"/>
                  <c:y val="-3.5587188612099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60-4008-BAB3-1354EBE3391B}"/>
                </c:ext>
              </c:extLst>
            </c:dLbl>
            <c:dLbl>
              <c:idx val="5"/>
              <c:layout>
                <c:manualLayout>
                  <c:x val="-8.9846221747359912E-17"/>
                  <c:y val="-2.37247924080664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60-4008-BAB3-1354EBE3391B}"/>
                </c:ext>
              </c:extLst>
            </c:dLbl>
            <c:dLbl>
              <c:idx val="7"/>
              <c:layout>
                <c:manualLayout>
                  <c:x val="0"/>
                  <c:y val="-3.55871886120996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60-4008-BAB3-1354EBE3391B}"/>
                </c:ext>
              </c:extLst>
            </c:dLbl>
            <c:dLbl>
              <c:idx val="8"/>
              <c:layout>
                <c:manualLayout>
                  <c:x val="0"/>
                  <c:y val="5.5357848952154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60-4008-BAB3-1354EBE3391B}"/>
                </c:ext>
              </c:extLst>
            </c:dLbl>
            <c:spPr>
              <a:noFill/>
              <a:ln>
                <a:noFill/>
              </a:ln>
              <a:effectLst/>
            </c:spPr>
            <c:txPr>
              <a:bodyPr wrap="square" lIns="38100" tIns="19050" rIns="38100" bIns="19050" anchor="ctr">
                <a:spAutoFit/>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 (2)'!$B$12:$K$12</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'Data (2)'!$B$13:$K$13</c:f>
              <c:numCache>
                <c:formatCode>#,##0.0</c:formatCode>
                <c:ptCount val="10"/>
                <c:pt idx="0">
                  <c:v>24.8</c:v>
                </c:pt>
                <c:pt idx="1">
                  <c:v>34</c:v>
                </c:pt>
                <c:pt idx="2">
                  <c:v>34.5</c:v>
                </c:pt>
                <c:pt idx="3">
                  <c:v>31.3</c:v>
                </c:pt>
                <c:pt idx="4">
                  <c:v>29.5</c:v>
                </c:pt>
                <c:pt idx="5">
                  <c:v>27.9</c:v>
                </c:pt>
                <c:pt idx="6">
                  <c:v>24.8</c:v>
                </c:pt>
                <c:pt idx="7">
                  <c:v>29.4</c:v>
                </c:pt>
                <c:pt idx="8">
                  <c:v>29.1</c:v>
                </c:pt>
                <c:pt idx="9">
                  <c:v>26.9</c:v>
                </c:pt>
              </c:numCache>
            </c:numRef>
          </c:val>
          <c:smooth val="0"/>
          <c:extLst>
            <c:ext xmlns:c16="http://schemas.microsoft.com/office/drawing/2014/chart" uri="{C3380CC4-5D6E-409C-BE32-E72D297353CC}">
              <c16:uniqueId val="{00000000-D0C3-4313-850F-27AC830DCFE6}"/>
            </c:ext>
          </c:extLst>
        </c:ser>
        <c:ser>
          <c:idx val="1"/>
          <c:order val="1"/>
          <c:tx>
            <c:strRef>
              <c:f>'Data (2)'!$A$14</c:f>
              <c:strCache>
                <c:ptCount val="1"/>
                <c:pt idx="0">
                  <c:v>Χωρίς αναπηρία</c:v>
                </c:pt>
              </c:strCache>
            </c:strRef>
          </c:tx>
          <c:marker>
            <c:symbol val="none"/>
          </c:marker>
          <c:dLbls>
            <c:dLbl>
              <c:idx val="0"/>
              <c:layout>
                <c:manualLayout>
                  <c:x val="-2.2461555436839978E-17"/>
                  <c:y val="3.5587188612099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60-4008-BAB3-1354EBE3391B}"/>
                </c:ext>
              </c:extLst>
            </c:dLbl>
            <c:dLbl>
              <c:idx val="2"/>
              <c:layout>
                <c:manualLayout>
                  <c:x val="0"/>
                  <c:y val="-2.3724792408066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60-4008-BAB3-1354EBE3391B}"/>
                </c:ext>
              </c:extLst>
            </c:dLbl>
            <c:dLbl>
              <c:idx val="3"/>
              <c:layout>
                <c:manualLayout>
                  <c:x val="0"/>
                  <c:y val="5.1403716884143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60-4008-BAB3-1354EBE3391B}"/>
                </c:ext>
              </c:extLst>
            </c:dLbl>
            <c:dLbl>
              <c:idx val="4"/>
              <c:layout>
                <c:manualLayout>
                  <c:x val="0"/>
                  <c:y val="-1.1862396204033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60-4008-BAB3-1354EBE3391B}"/>
                </c:ext>
              </c:extLst>
            </c:dLbl>
            <c:dLbl>
              <c:idx val="5"/>
              <c:layout>
                <c:manualLayout>
                  <c:x val="-8.9846221747359912E-17"/>
                  <c:y val="2.37247924080663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60-4008-BAB3-1354EBE3391B}"/>
                </c:ext>
              </c:extLst>
            </c:dLbl>
            <c:dLbl>
              <c:idx val="6"/>
              <c:layout>
                <c:manualLayout>
                  <c:x val="0"/>
                  <c:y val="5.5357848952155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60-4008-BAB3-1354EBE3391B}"/>
                </c:ext>
              </c:extLst>
            </c:dLbl>
            <c:dLbl>
              <c:idx val="7"/>
              <c:layout>
                <c:manualLayout>
                  <c:x val="0"/>
                  <c:y val="-1.1862396204033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60-4008-BAB3-1354EBE3391B}"/>
                </c:ext>
              </c:extLst>
            </c:dLbl>
            <c:dLbl>
              <c:idx val="8"/>
              <c:layout>
                <c:manualLayout>
                  <c:x val="0"/>
                  <c:y val="-2.3724792408066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60-4008-BAB3-1354EBE3391B}"/>
                </c:ext>
              </c:extLst>
            </c:dLbl>
            <c:spPr>
              <a:noFill/>
              <a:ln>
                <a:noFill/>
              </a:ln>
              <a:effectLst/>
            </c:spPr>
            <c:txPr>
              <a:bodyPr wrap="square" lIns="38100" tIns="19050" rIns="38100" bIns="19050" anchor="ctr">
                <a:spAutoFit/>
              </a:bodyPr>
              <a:lstStyle/>
              <a:p>
                <a:pPr>
                  <a:defRPr sz="11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 (2)'!$B$12:$K$12</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'Data (2)'!$B$14:$K$14</c:f>
              <c:numCache>
                <c:formatCode>#,##0.0</c:formatCode>
                <c:ptCount val="10"/>
                <c:pt idx="0">
                  <c:v>18.7</c:v>
                </c:pt>
                <c:pt idx="1">
                  <c:v>19.3</c:v>
                </c:pt>
                <c:pt idx="2">
                  <c:v>23.5</c:v>
                </c:pt>
                <c:pt idx="3">
                  <c:v>23.2</c:v>
                </c:pt>
                <c:pt idx="4">
                  <c:v>23.2</c:v>
                </c:pt>
                <c:pt idx="5">
                  <c:v>21.9</c:v>
                </c:pt>
                <c:pt idx="6">
                  <c:v>22.3</c:v>
                </c:pt>
                <c:pt idx="7">
                  <c:v>20.9</c:v>
                </c:pt>
                <c:pt idx="8">
                  <c:v>19.2</c:v>
                </c:pt>
                <c:pt idx="9">
                  <c:v>18.2</c:v>
                </c:pt>
              </c:numCache>
            </c:numRef>
          </c:val>
          <c:smooth val="0"/>
          <c:extLst>
            <c:ext xmlns:c16="http://schemas.microsoft.com/office/drawing/2014/chart" uri="{C3380CC4-5D6E-409C-BE32-E72D297353CC}">
              <c16:uniqueId val="{00000001-D0C3-4313-850F-27AC830DCFE6}"/>
            </c:ext>
          </c:extLst>
        </c:ser>
        <c:dLbls>
          <c:showLegendKey val="0"/>
          <c:showVal val="0"/>
          <c:showCatName val="0"/>
          <c:showSerName val="0"/>
          <c:showPercent val="0"/>
          <c:showBubbleSize val="0"/>
        </c:dLbls>
        <c:smooth val="0"/>
        <c:axId val="105297408"/>
        <c:axId val="105298944"/>
      </c:lineChart>
      <c:catAx>
        <c:axId val="105297408"/>
        <c:scaling>
          <c:orientation val="minMax"/>
        </c:scaling>
        <c:delete val="0"/>
        <c:axPos val="b"/>
        <c:numFmt formatCode="General" sourceLinked="0"/>
        <c:majorTickMark val="none"/>
        <c:minorTickMark val="none"/>
        <c:tickLblPos val="nextTo"/>
        <c:crossAx val="105298944"/>
        <c:crosses val="autoZero"/>
        <c:auto val="1"/>
        <c:lblAlgn val="ctr"/>
        <c:lblOffset val="100"/>
        <c:noMultiLvlLbl val="0"/>
      </c:catAx>
      <c:valAx>
        <c:axId val="105298944"/>
        <c:scaling>
          <c:orientation val="minMax"/>
          <c:max val="35"/>
          <c:min val="0"/>
        </c:scaling>
        <c:delete val="0"/>
        <c:axPos val="l"/>
        <c:numFmt formatCode="#,##0.0" sourceLinked="1"/>
        <c:majorTickMark val="none"/>
        <c:minorTickMark val="none"/>
        <c:tickLblPos val="nextTo"/>
        <c:spPr>
          <a:ln w="9525">
            <a:noFill/>
          </a:ln>
        </c:spPr>
        <c:crossAx val="105297408"/>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Φύλλο1!$A$4</c:f>
              <c:strCache>
                <c:ptCount val="1"/>
                <c:pt idx="0">
                  <c:v>Σοβαρή αναπηρία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Φύλλο1!$B$3:$G$3</c:f>
              <c:strCache>
                <c:ptCount val="6"/>
                <c:pt idx="0">
                  <c:v>16-24 ετών</c:v>
                </c:pt>
                <c:pt idx="1">
                  <c:v>25-34 ετών</c:v>
                </c:pt>
                <c:pt idx="2">
                  <c:v>35-44 ετών</c:v>
                </c:pt>
                <c:pt idx="3">
                  <c:v>45-54 ετών</c:v>
                </c:pt>
                <c:pt idx="4">
                  <c:v>55-64 ετών</c:v>
                </c:pt>
                <c:pt idx="5">
                  <c:v>65+ ετών</c:v>
                </c:pt>
              </c:strCache>
            </c:strRef>
          </c:cat>
          <c:val>
            <c:numRef>
              <c:f>Φύλλο1!$B$4:$G$4</c:f>
              <c:numCache>
                <c:formatCode>#,##0.0</c:formatCode>
                <c:ptCount val="6"/>
                <c:pt idx="0">
                  <c:v>40.1</c:v>
                </c:pt>
                <c:pt idx="1">
                  <c:v>75.3</c:v>
                </c:pt>
                <c:pt idx="2">
                  <c:v>69.099999999999994</c:v>
                </c:pt>
                <c:pt idx="3">
                  <c:v>55.7</c:v>
                </c:pt>
                <c:pt idx="4">
                  <c:v>69.599999999999994</c:v>
                </c:pt>
                <c:pt idx="5">
                  <c:v>88.3</c:v>
                </c:pt>
              </c:numCache>
            </c:numRef>
          </c:val>
          <c:extLst>
            <c:ext xmlns:c16="http://schemas.microsoft.com/office/drawing/2014/chart" uri="{C3380CC4-5D6E-409C-BE32-E72D297353CC}">
              <c16:uniqueId val="{00000000-7141-450C-A218-651C3423680B}"/>
            </c:ext>
          </c:extLst>
        </c:ser>
        <c:ser>
          <c:idx val="1"/>
          <c:order val="1"/>
          <c:tx>
            <c:strRef>
              <c:f>Φύλλο1!$A$5</c:f>
              <c:strCache>
                <c:ptCount val="1"/>
                <c:pt idx="0">
                  <c:v>Μέτρια αναπηρία</c:v>
                </c:pt>
              </c:strCache>
            </c:strRef>
          </c:tx>
          <c:invertIfNegative val="0"/>
          <c:dLbls>
            <c:dLbl>
              <c:idx val="5"/>
              <c:layout>
                <c:manualLayout>
                  <c:x val="0"/>
                  <c:y val="-2.5058170753534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CE-4CA7-A812-E47CECBFAC2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Φύλλο1!$B$3:$G$3</c:f>
              <c:strCache>
                <c:ptCount val="6"/>
                <c:pt idx="0">
                  <c:v>16-24 ετών</c:v>
                </c:pt>
                <c:pt idx="1">
                  <c:v>25-34 ετών</c:v>
                </c:pt>
                <c:pt idx="2">
                  <c:v>35-44 ετών</c:v>
                </c:pt>
                <c:pt idx="3">
                  <c:v>45-54 ετών</c:v>
                </c:pt>
                <c:pt idx="4">
                  <c:v>55-64 ετών</c:v>
                </c:pt>
                <c:pt idx="5">
                  <c:v>65+ ετών</c:v>
                </c:pt>
              </c:strCache>
            </c:strRef>
          </c:cat>
          <c:val>
            <c:numRef>
              <c:f>Φύλλο1!$B$5:$G$5</c:f>
              <c:numCache>
                <c:formatCode>#,##0.0</c:formatCode>
                <c:ptCount val="6"/>
                <c:pt idx="0">
                  <c:v>65.2</c:v>
                </c:pt>
                <c:pt idx="1">
                  <c:v>60.2</c:v>
                </c:pt>
                <c:pt idx="2">
                  <c:v>48.1</c:v>
                </c:pt>
                <c:pt idx="3">
                  <c:v>42.8</c:v>
                </c:pt>
                <c:pt idx="4">
                  <c:v>67.7</c:v>
                </c:pt>
                <c:pt idx="5">
                  <c:v>88.6</c:v>
                </c:pt>
              </c:numCache>
            </c:numRef>
          </c:val>
          <c:extLst>
            <c:ext xmlns:c16="http://schemas.microsoft.com/office/drawing/2014/chart" uri="{C3380CC4-5D6E-409C-BE32-E72D297353CC}">
              <c16:uniqueId val="{00000001-7141-450C-A218-651C3423680B}"/>
            </c:ext>
          </c:extLst>
        </c:ser>
        <c:ser>
          <c:idx val="2"/>
          <c:order val="2"/>
          <c:tx>
            <c:strRef>
              <c:f>Φύλλο1!$A$6</c:f>
              <c:strCache>
                <c:ptCount val="1"/>
                <c:pt idx="0">
                  <c:v>Χωρίς αναπηρία</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Φύλλο1!$B$3:$G$3</c:f>
              <c:strCache>
                <c:ptCount val="6"/>
                <c:pt idx="0">
                  <c:v>16-24 ετών</c:v>
                </c:pt>
                <c:pt idx="1">
                  <c:v>25-34 ετών</c:v>
                </c:pt>
                <c:pt idx="2">
                  <c:v>35-44 ετών</c:v>
                </c:pt>
                <c:pt idx="3">
                  <c:v>45-54 ετών</c:v>
                </c:pt>
                <c:pt idx="4">
                  <c:v>55-64 ετών</c:v>
                </c:pt>
                <c:pt idx="5">
                  <c:v>65+ ετών</c:v>
                </c:pt>
              </c:strCache>
            </c:strRef>
          </c:cat>
          <c:val>
            <c:numRef>
              <c:f>Φύλλο1!$B$6:$G$6</c:f>
              <c:numCache>
                <c:formatCode>#,##0.0</c:formatCode>
                <c:ptCount val="6"/>
                <c:pt idx="0">
                  <c:v>40.9</c:v>
                </c:pt>
                <c:pt idx="1">
                  <c:v>33.700000000000003</c:v>
                </c:pt>
                <c:pt idx="2">
                  <c:v>29.6</c:v>
                </c:pt>
                <c:pt idx="3">
                  <c:v>31.4</c:v>
                </c:pt>
                <c:pt idx="4">
                  <c:v>49.5</c:v>
                </c:pt>
                <c:pt idx="5">
                  <c:v>81.400000000000006</c:v>
                </c:pt>
              </c:numCache>
            </c:numRef>
          </c:val>
          <c:extLst>
            <c:ext xmlns:c16="http://schemas.microsoft.com/office/drawing/2014/chart" uri="{C3380CC4-5D6E-409C-BE32-E72D297353CC}">
              <c16:uniqueId val="{00000002-7141-450C-A218-651C3423680B}"/>
            </c:ext>
          </c:extLst>
        </c:ser>
        <c:dLbls>
          <c:showLegendKey val="0"/>
          <c:showVal val="0"/>
          <c:showCatName val="0"/>
          <c:showSerName val="0"/>
          <c:showPercent val="0"/>
          <c:showBubbleSize val="0"/>
        </c:dLbls>
        <c:gapWidth val="75"/>
        <c:overlap val="-25"/>
        <c:axId val="124679296"/>
        <c:axId val="124680832"/>
      </c:barChart>
      <c:catAx>
        <c:axId val="124679296"/>
        <c:scaling>
          <c:orientation val="minMax"/>
        </c:scaling>
        <c:delete val="0"/>
        <c:axPos val="b"/>
        <c:numFmt formatCode="General" sourceLinked="0"/>
        <c:majorTickMark val="none"/>
        <c:minorTickMark val="none"/>
        <c:tickLblPos val="nextTo"/>
        <c:crossAx val="124680832"/>
        <c:crosses val="autoZero"/>
        <c:auto val="1"/>
        <c:lblAlgn val="ctr"/>
        <c:lblOffset val="100"/>
        <c:noMultiLvlLbl val="0"/>
      </c:catAx>
      <c:valAx>
        <c:axId val="124680832"/>
        <c:scaling>
          <c:orientation val="minMax"/>
        </c:scaling>
        <c:delete val="0"/>
        <c:axPos val="l"/>
        <c:numFmt formatCode="#,##0.0" sourceLinked="1"/>
        <c:majorTickMark val="none"/>
        <c:minorTickMark val="none"/>
        <c:tickLblPos val="nextTo"/>
        <c:spPr>
          <a:ln w="9525">
            <a:noFill/>
          </a:ln>
        </c:spPr>
        <c:crossAx val="124679296"/>
        <c:crosses val="autoZero"/>
        <c:crossBetween val="between"/>
      </c:valAx>
    </c:plotArea>
    <c:legend>
      <c:legendPos val="b"/>
      <c:overlay val="0"/>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'16+'!$A$13</c:f>
              <c:strCache>
                <c:ptCount val="1"/>
                <c:pt idx="0">
                  <c:v>Σοβαρή αναπηρία</c:v>
                </c:pt>
              </c:strCache>
            </c:strRef>
          </c:tx>
          <c:invertIfNegative val="0"/>
          <c:cat>
            <c:strRef>
              <c:f>'16+'!$B$12:$K$12</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'16+'!$B$13:$K$13</c:f>
              <c:numCache>
                <c:formatCode>#,##0.0</c:formatCode>
                <c:ptCount val="10"/>
                <c:pt idx="0">
                  <c:v>18.8</c:v>
                </c:pt>
                <c:pt idx="1">
                  <c:v>21.2</c:v>
                </c:pt>
                <c:pt idx="2">
                  <c:v>25.2</c:v>
                </c:pt>
                <c:pt idx="3">
                  <c:v>23.5</c:v>
                </c:pt>
                <c:pt idx="4">
                  <c:v>26</c:v>
                </c:pt>
                <c:pt idx="5">
                  <c:v>27.1</c:v>
                </c:pt>
                <c:pt idx="6">
                  <c:v>25.7</c:v>
                </c:pt>
                <c:pt idx="7">
                  <c:v>27.5</c:v>
                </c:pt>
                <c:pt idx="8">
                  <c:v>21.9</c:v>
                </c:pt>
                <c:pt idx="9">
                  <c:v>22.1</c:v>
                </c:pt>
              </c:numCache>
            </c:numRef>
          </c:val>
          <c:extLst>
            <c:ext xmlns:c16="http://schemas.microsoft.com/office/drawing/2014/chart" uri="{C3380CC4-5D6E-409C-BE32-E72D297353CC}">
              <c16:uniqueId val="{00000000-9EE0-4722-AFD3-2F4D8B3AA916}"/>
            </c:ext>
          </c:extLst>
        </c:ser>
        <c:ser>
          <c:idx val="1"/>
          <c:order val="1"/>
          <c:tx>
            <c:strRef>
              <c:f>'16+'!$A$14</c:f>
              <c:strCache>
                <c:ptCount val="1"/>
                <c:pt idx="0">
                  <c:v>Μέτρια αναπηρία</c:v>
                </c:pt>
              </c:strCache>
            </c:strRef>
          </c:tx>
          <c:invertIfNegative val="0"/>
          <c:cat>
            <c:strRef>
              <c:f>'16+'!$B$12:$K$12</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'16+'!$B$14:$K$14</c:f>
              <c:numCache>
                <c:formatCode>#,##0.0</c:formatCode>
                <c:ptCount val="10"/>
                <c:pt idx="0">
                  <c:v>16.2</c:v>
                </c:pt>
                <c:pt idx="1">
                  <c:v>14.7</c:v>
                </c:pt>
                <c:pt idx="2">
                  <c:v>21</c:v>
                </c:pt>
                <c:pt idx="3">
                  <c:v>21</c:v>
                </c:pt>
                <c:pt idx="4">
                  <c:v>20</c:v>
                </c:pt>
                <c:pt idx="5">
                  <c:v>20.2</c:v>
                </c:pt>
                <c:pt idx="6">
                  <c:v>22.4</c:v>
                </c:pt>
                <c:pt idx="7">
                  <c:v>21.9</c:v>
                </c:pt>
                <c:pt idx="8">
                  <c:v>17.600000000000001</c:v>
                </c:pt>
                <c:pt idx="9">
                  <c:v>17.5</c:v>
                </c:pt>
              </c:numCache>
            </c:numRef>
          </c:val>
          <c:extLst>
            <c:ext xmlns:c16="http://schemas.microsoft.com/office/drawing/2014/chart" uri="{C3380CC4-5D6E-409C-BE32-E72D297353CC}">
              <c16:uniqueId val="{00000001-9EE0-4722-AFD3-2F4D8B3AA916}"/>
            </c:ext>
          </c:extLst>
        </c:ser>
        <c:ser>
          <c:idx val="2"/>
          <c:order val="2"/>
          <c:tx>
            <c:strRef>
              <c:f>'16+'!$A$15</c:f>
              <c:strCache>
                <c:ptCount val="1"/>
                <c:pt idx="0">
                  <c:v>Χωρίς αναπηρία</c:v>
                </c:pt>
              </c:strCache>
            </c:strRef>
          </c:tx>
          <c:invertIfNegative val="0"/>
          <c:cat>
            <c:strRef>
              <c:f>'16+'!$B$12:$K$12</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'16+'!$B$15:$K$15</c:f>
              <c:numCache>
                <c:formatCode>#,##0.0</c:formatCode>
                <c:ptCount val="10"/>
                <c:pt idx="0">
                  <c:v>10.200000000000001</c:v>
                </c:pt>
                <c:pt idx="1">
                  <c:v>14.2</c:v>
                </c:pt>
                <c:pt idx="2">
                  <c:v>18.600000000000001</c:v>
                </c:pt>
                <c:pt idx="3">
                  <c:v>19.2</c:v>
                </c:pt>
                <c:pt idx="4">
                  <c:v>20.7</c:v>
                </c:pt>
                <c:pt idx="5">
                  <c:v>20.9</c:v>
                </c:pt>
                <c:pt idx="6">
                  <c:v>21.1</c:v>
                </c:pt>
                <c:pt idx="7">
                  <c:v>19.399999999999999</c:v>
                </c:pt>
                <c:pt idx="8">
                  <c:v>15.6</c:v>
                </c:pt>
                <c:pt idx="9">
                  <c:v>15.1</c:v>
                </c:pt>
              </c:numCache>
            </c:numRef>
          </c:val>
          <c:extLst>
            <c:ext xmlns:c16="http://schemas.microsoft.com/office/drawing/2014/chart" uri="{C3380CC4-5D6E-409C-BE32-E72D297353CC}">
              <c16:uniqueId val="{00000002-9EE0-4722-AFD3-2F4D8B3AA916}"/>
            </c:ext>
          </c:extLst>
        </c:ser>
        <c:dLbls>
          <c:showLegendKey val="0"/>
          <c:showVal val="0"/>
          <c:showCatName val="0"/>
          <c:showSerName val="0"/>
          <c:showPercent val="0"/>
          <c:showBubbleSize val="0"/>
        </c:dLbls>
        <c:gapWidth val="150"/>
        <c:axId val="124703488"/>
        <c:axId val="124705024"/>
      </c:barChart>
      <c:catAx>
        <c:axId val="124703488"/>
        <c:scaling>
          <c:orientation val="minMax"/>
        </c:scaling>
        <c:delete val="0"/>
        <c:axPos val="b"/>
        <c:numFmt formatCode="General" sourceLinked="0"/>
        <c:majorTickMark val="none"/>
        <c:minorTickMark val="none"/>
        <c:tickLblPos val="nextTo"/>
        <c:crossAx val="124705024"/>
        <c:crosses val="autoZero"/>
        <c:auto val="1"/>
        <c:lblAlgn val="ctr"/>
        <c:lblOffset val="100"/>
        <c:noMultiLvlLbl val="0"/>
      </c:catAx>
      <c:valAx>
        <c:axId val="124705024"/>
        <c:scaling>
          <c:orientation val="minMax"/>
        </c:scaling>
        <c:delete val="0"/>
        <c:axPos val="l"/>
        <c:majorGridlines/>
        <c:numFmt formatCode="#,##0.0" sourceLinked="1"/>
        <c:majorTickMark val="none"/>
        <c:minorTickMark val="none"/>
        <c:tickLblPos val="nextTo"/>
        <c:crossAx val="124703488"/>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'16-64 (2)'!$A$10</c:f>
              <c:strCache>
                <c:ptCount val="1"/>
                <c:pt idx="0">
                  <c:v>ΣΟΒΑΡΗ ΑΝΑΠΗΡΙΑ</c:v>
                </c:pt>
              </c:strCache>
            </c:strRef>
          </c:tx>
          <c:marker>
            <c:symbol val="none"/>
          </c:marker>
          <c:dLbls>
            <c:dLbl>
              <c:idx val="2"/>
              <c:layout>
                <c:manualLayout>
                  <c:x val="-4.4144284968814806E-17"/>
                  <c:y val="-2.7643400138217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E3-42D2-9D6D-3F7486E03FB6}"/>
                </c:ext>
              </c:extLst>
            </c:dLbl>
            <c:dLbl>
              <c:idx val="3"/>
              <c:layout>
                <c:manualLayout>
                  <c:x val="0"/>
                  <c:y val="1.3821700069108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E3-42D2-9D6D-3F7486E03FB6}"/>
                </c:ext>
              </c:extLst>
            </c:dLbl>
            <c:dLbl>
              <c:idx val="4"/>
              <c:layout>
                <c:manualLayout>
                  <c:x val="0"/>
                  <c:y val="2.7643400138217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E3-42D2-9D6D-3F7486E03FB6}"/>
                </c:ext>
              </c:extLst>
            </c:dLbl>
            <c:dLbl>
              <c:idx val="5"/>
              <c:layout>
                <c:manualLayout>
                  <c:x val="0"/>
                  <c:y val="4.1465100207325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E3-42D2-9D6D-3F7486E03FB6}"/>
                </c:ext>
              </c:extLst>
            </c:dLbl>
            <c:dLbl>
              <c:idx val="6"/>
              <c:layout>
                <c:manualLayout>
                  <c:x val="-8.8288569937629612E-17"/>
                  <c:y val="5.0679566920064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E3-42D2-9D6D-3F7486E03FB6}"/>
                </c:ext>
              </c:extLst>
            </c:dLbl>
            <c:dLbl>
              <c:idx val="8"/>
              <c:layout>
                <c:manualLayout>
                  <c:x val="0"/>
                  <c:y val="-5.0679566920064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E3-42D2-9D6D-3F7486E03FB6}"/>
                </c:ext>
              </c:extLst>
            </c:dLbl>
            <c:dLbl>
              <c:idx val="9"/>
              <c:layout>
                <c:manualLayout>
                  <c:x val="0"/>
                  <c:y val="-1.3821700069108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E3-42D2-9D6D-3F7486E03FB6}"/>
                </c:ext>
              </c:extLst>
            </c:dLbl>
            <c:spPr>
              <a:noFill/>
              <a:ln>
                <a:noFill/>
              </a:ln>
              <a:effectLst/>
            </c:spPr>
            <c:txPr>
              <a:bodyPr wrap="square" lIns="38100" tIns="19050" rIns="38100" bIns="19050" anchor="ctr">
                <a:spAutoFit/>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'16-64 (2)'!$B$9:$K$9</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'16-64 (2)'!$B$10:$K$10</c:f>
              <c:numCache>
                <c:formatCode>#,##0.0</c:formatCode>
                <c:ptCount val="10"/>
                <c:pt idx="0">
                  <c:v>22.3</c:v>
                </c:pt>
                <c:pt idx="1">
                  <c:v>27.4</c:v>
                </c:pt>
                <c:pt idx="2">
                  <c:v>35</c:v>
                </c:pt>
                <c:pt idx="3">
                  <c:v>32.800000000000004</c:v>
                </c:pt>
                <c:pt idx="4">
                  <c:v>35.1</c:v>
                </c:pt>
                <c:pt idx="5">
                  <c:v>36.1</c:v>
                </c:pt>
                <c:pt idx="6">
                  <c:v>36.9</c:v>
                </c:pt>
                <c:pt idx="7">
                  <c:v>37.1</c:v>
                </c:pt>
                <c:pt idx="8">
                  <c:v>29.9</c:v>
                </c:pt>
                <c:pt idx="9" formatCode="General">
                  <c:v>30.8</c:v>
                </c:pt>
              </c:numCache>
            </c:numRef>
          </c:val>
          <c:smooth val="0"/>
          <c:extLst>
            <c:ext xmlns:c16="http://schemas.microsoft.com/office/drawing/2014/chart" uri="{C3380CC4-5D6E-409C-BE32-E72D297353CC}">
              <c16:uniqueId val="{00000000-5BF7-4A49-B629-927F5ED48543}"/>
            </c:ext>
          </c:extLst>
        </c:ser>
        <c:ser>
          <c:idx val="1"/>
          <c:order val="1"/>
          <c:tx>
            <c:strRef>
              <c:f>'16-64 (2)'!$A$11</c:f>
              <c:strCache>
                <c:ptCount val="1"/>
                <c:pt idx="0">
                  <c:v>ΧΩΡΙΣ ΑΝΑΠΗΡΙΑ</c:v>
                </c:pt>
              </c:strCache>
            </c:strRef>
          </c:tx>
          <c:marker>
            <c:symbol val="none"/>
          </c:marker>
          <c:dLbls>
            <c:dLbl>
              <c:idx val="0"/>
              <c:layout>
                <c:manualLayout>
                  <c:x val="-2.2072142484407403E-17"/>
                  <c:y val="3.2250633494586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FE3-42D2-9D6D-3F7486E03FB6}"/>
                </c:ext>
              </c:extLst>
            </c:dLbl>
            <c:dLbl>
              <c:idx val="1"/>
              <c:layout>
                <c:manualLayout>
                  <c:x val="0"/>
                  <c:y val="2.303616678184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FE3-42D2-9D6D-3F7486E03FB6}"/>
                </c:ext>
              </c:extLst>
            </c:dLbl>
            <c:dLbl>
              <c:idx val="2"/>
              <c:layout>
                <c:manualLayout>
                  <c:x val="-4.4144284968814806E-17"/>
                  <c:y val="3.6857866850956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FE3-42D2-9D6D-3F7486E03FB6}"/>
                </c:ext>
              </c:extLst>
            </c:dLbl>
            <c:dLbl>
              <c:idx val="3"/>
              <c:layout>
                <c:manualLayout>
                  <c:x val="0"/>
                  <c:y val="4.1465100207325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FE3-42D2-9D6D-3F7486E03FB6}"/>
                </c:ext>
              </c:extLst>
            </c:dLbl>
            <c:dLbl>
              <c:idx val="4"/>
              <c:layout>
                <c:manualLayout>
                  <c:x val="0"/>
                  <c:y val="6.9108500345542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FE3-42D2-9D6D-3F7486E03FB6}"/>
                </c:ext>
              </c:extLst>
            </c:dLbl>
            <c:dLbl>
              <c:idx val="5"/>
              <c:layout>
                <c:manualLayout>
                  <c:x val="0"/>
                  <c:y val="7.8322967058281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FE3-42D2-9D6D-3F7486E03FB6}"/>
                </c:ext>
              </c:extLst>
            </c:dLbl>
            <c:dLbl>
              <c:idx val="6"/>
              <c:layout>
                <c:manualLayout>
                  <c:x val="-8.8288569937629612E-17"/>
                  <c:y val="-1.8428933425478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FE3-42D2-9D6D-3F7486E03FB6}"/>
                </c:ext>
              </c:extLst>
            </c:dLbl>
            <c:dLbl>
              <c:idx val="7"/>
              <c:layout>
                <c:manualLayout>
                  <c:x val="0"/>
                  <c:y val="-1.3821700069108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FE3-42D2-9D6D-3F7486E03FB6}"/>
                </c:ext>
              </c:extLst>
            </c:dLbl>
            <c:dLbl>
              <c:idx val="8"/>
              <c:layout>
                <c:manualLayout>
                  <c:x val="0"/>
                  <c:y val="-2.7643400138217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E3-42D2-9D6D-3F7486E03FB6}"/>
                </c:ext>
              </c:extLst>
            </c:dLbl>
            <c:dLbl>
              <c:idx val="9"/>
              <c:layout>
                <c:manualLayout>
                  <c:x val="0"/>
                  <c:y val="-1.3821700069108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E3-42D2-9D6D-3F7486E03FB6}"/>
                </c:ext>
              </c:extLst>
            </c:dLbl>
            <c:spPr>
              <a:noFill/>
              <a:ln>
                <a:noFill/>
              </a:ln>
              <a:effectLst/>
            </c:spPr>
            <c:txPr>
              <a:bodyPr wrap="square" lIns="38100" tIns="19050" rIns="38100" bIns="19050" anchor="ctr">
                <a:spAutoFit/>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'16-64 (2)'!$B$9:$K$9</c:f>
              <c:strCache>
                <c:ptCount val="10"/>
                <c:pt idx="0">
                  <c:v>2010</c:v>
                </c:pt>
                <c:pt idx="1">
                  <c:v>2011</c:v>
                </c:pt>
                <c:pt idx="2">
                  <c:v>2012</c:v>
                </c:pt>
                <c:pt idx="3">
                  <c:v>2013</c:v>
                </c:pt>
                <c:pt idx="4">
                  <c:v>2014</c:v>
                </c:pt>
                <c:pt idx="5">
                  <c:v>2015</c:v>
                </c:pt>
                <c:pt idx="6">
                  <c:v>2016</c:v>
                </c:pt>
                <c:pt idx="7">
                  <c:v>2017</c:v>
                </c:pt>
                <c:pt idx="8">
                  <c:v>2018</c:v>
                </c:pt>
                <c:pt idx="9">
                  <c:v>2019</c:v>
                </c:pt>
              </c:strCache>
            </c:strRef>
          </c:cat>
          <c:val>
            <c:numRef>
              <c:f>'16-64 (2)'!$B$11:$K$11</c:f>
              <c:numCache>
                <c:formatCode>#,##0.0</c:formatCode>
                <c:ptCount val="10"/>
                <c:pt idx="0">
                  <c:v>10.4</c:v>
                </c:pt>
                <c:pt idx="1">
                  <c:v>14.9</c:v>
                </c:pt>
                <c:pt idx="2">
                  <c:v>20.100000000000001</c:v>
                </c:pt>
                <c:pt idx="3">
                  <c:v>20.7</c:v>
                </c:pt>
                <c:pt idx="4">
                  <c:v>22</c:v>
                </c:pt>
                <c:pt idx="5">
                  <c:v>22.4</c:v>
                </c:pt>
                <c:pt idx="6">
                  <c:v>22.5</c:v>
                </c:pt>
                <c:pt idx="7">
                  <c:v>20.7</c:v>
                </c:pt>
                <c:pt idx="8">
                  <c:v>16.399999999999999</c:v>
                </c:pt>
                <c:pt idx="9">
                  <c:v>15.9</c:v>
                </c:pt>
              </c:numCache>
            </c:numRef>
          </c:val>
          <c:smooth val="0"/>
          <c:extLst>
            <c:ext xmlns:c16="http://schemas.microsoft.com/office/drawing/2014/chart" uri="{C3380CC4-5D6E-409C-BE32-E72D297353CC}">
              <c16:uniqueId val="{00000001-5BF7-4A49-B629-927F5ED48543}"/>
            </c:ext>
          </c:extLst>
        </c:ser>
        <c:dLbls>
          <c:showLegendKey val="0"/>
          <c:showVal val="0"/>
          <c:showCatName val="0"/>
          <c:showSerName val="0"/>
          <c:showPercent val="0"/>
          <c:showBubbleSize val="0"/>
        </c:dLbls>
        <c:smooth val="0"/>
        <c:axId val="124744064"/>
        <c:axId val="124745600"/>
      </c:lineChart>
      <c:catAx>
        <c:axId val="124744064"/>
        <c:scaling>
          <c:orientation val="minMax"/>
        </c:scaling>
        <c:delete val="0"/>
        <c:axPos val="b"/>
        <c:numFmt formatCode="General" sourceLinked="0"/>
        <c:majorTickMark val="none"/>
        <c:minorTickMark val="none"/>
        <c:tickLblPos val="nextTo"/>
        <c:crossAx val="124745600"/>
        <c:crosses val="autoZero"/>
        <c:auto val="1"/>
        <c:lblAlgn val="ctr"/>
        <c:lblOffset val="100"/>
        <c:noMultiLvlLbl val="0"/>
      </c:catAx>
      <c:valAx>
        <c:axId val="124745600"/>
        <c:scaling>
          <c:orientation val="minMax"/>
        </c:scaling>
        <c:delete val="0"/>
        <c:axPos val="l"/>
        <c:numFmt formatCode="#,##0.0" sourceLinked="1"/>
        <c:majorTickMark val="none"/>
        <c:minorTickMark val="none"/>
        <c:tickLblPos val="nextTo"/>
        <c:spPr>
          <a:ln w="9525">
            <a:noFill/>
          </a:ln>
        </c:spPr>
        <c:crossAx val="124744064"/>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01AB8-37CD-4F41-BED8-0D83F3BD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23</Pages>
  <Words>5537</Words>
  <Characters>31564</Characters>
  <Application>Microsoft Office Word</Application>
  <DocSecurity>0</DocSecurity>
  <Lines>263</Lines>
  <Paragraphs>74</Paragraphs>
  <ScaleCrop>false</ScaleCrop>
  <HeadingPairs>
    <vt:vector size="2" baseType="variant">
      <vt:variant>
        <vt:lpstr>Τίτλος</vt:lpstr>
      </vt:variant>
      <vt:variant>
        <vt:i4>1</vt:i4>
      </vt:variant>
    </vt:vector>
  </HeadingPairs>
  <TitlesOfParts>
    <vt:vector size="1" baseType="lpstr">
      <vt:lpstr>5ο ΔΕΛΤΙΟ ΣΤΑΤΙΣΤΙΚΗΣ ΠΛΗΡΟΦΟΡΗΣΗΣ</vt:lpstr>
    </vt:vector>
  </TitlesOfParts>
  <Company>Εθνική Συνομοσπονδία Ατόμων με Αναπηρία (Ε.Σ.Α.μεΑ.)</Company>
  <LinksUpToDate>false</LinksUpToDate>
  <CharactersWithSpaces>37027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5ο ΔΕΛΤΙΟ ΣΤΑΤΙΣΤΙΚΗΣ ΠΛΗΡΟΦΟΡΗΣΗΣ</dc:title>
  <dc:subject>ΣΤΟΙΧΕΙΑ ΓΙΑ ΤΗΝ ΕΚΠΑΙΔΕΥΣΗ ΤΩΝ ΜΑΘΗΤΩΝ ΜΕ ΑΝΑΠΗΡΙΑ Η/ΚΑΙ ΕΙΔΙΚΕΣ ΕΚΠΑΙΔΕΥΤΙΚΕΣ ΑΝΑΓΚΕΣ</dc:subject>
  <dc:creator>Παρατηρητήριο Θεμάτων Αναπηρίας</dc:creator>
  <dc:description>Το παρόν αρχείο ελέγχθηκε με το εργαλείο Microsoft Accessibility Checker και δε βρέθηκαν θέματα προσβασιμότητας. Τα άτομα με αναπηρία δε θα αντιμετωπίζουν δυσκολίες στην ανάγνωσή του.</dc:description>
  <cp:lastModifiedBy>AM</cp:lastModifiedBy>
  <cp:revision>6</cp:revision>
  <cp:lastPrinted>2020-12-23T11:26:00Z</cp:lastPrinted>
  <dcterms:created xsi:type="dcterms:W3CDTF">2020-12-21T13:09:00Z</dcterms:created>
  <dcterms:modified xsi:type="dcterms:W3CDTF">2020-12-23T11:27:00Z</dcterms:modified>
</cp:coreProperties>
</file>